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D88E" w14:textId="755E2340" w:rsidR="004C076B" w:rsidRDefault="008459FC" w:rsidP="006D21D7">
      <w:pPr>
        <w:spacing w:after="0"/>
        <w:rPr>
          <w:b/>
          <w:bCs/>
          <w:color w:val="000000" w:themeColor="text1"/>
        </w:rPr>
      </w:pPr>
      <w:r w:rsidRPr="006D21D7">
        <w:rPr>
          <w:noProof/>
          <w:color w:val="000000" w:themeColor="text1"/>
          <w:sz w:val="18"/>
          <w:szCs w:val="18"/>
        </w:rPr>
        <mc:AlternateContent>
          <mc:Choice Requires="wps">
            <w:drawing>
              <wp:anchor distT="45720" distB="45720" distL="114300" distR="114300" simplePos="0" relativeHeight="251663360" behindDoc="0" locked="0" layoutInCell="1" allowOverlap="1" wp14:anchorId="1A47704F" wp14:editId="12E30813">
                <wp:simplePos x="0" y="0"/>
                <wp:positionH relativeFrom="margin">
                  <wp:align>right</wp:align>
                </wp:positionH>
                <wp:positionV relativeFrom="margin">
                  <wp:align>top</wp:align>
                </wp:positionV>
                <wp:extent cx="5981700" cy="4762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76250"/>
                        </a:xfrm>
                        <a:prstGeom prst="rect">
                          <a:avLst/>
                        </a:prstGeom>
                        <a:solidFill>
                          <a:schemeClr val="accent4">
                            <a:lumMod val="75000"/>
                          </a:schemeClr>
                        </a:solidFill>
                        <a:ln w="9525">
                          <a:solidFill>
                            <a:srgbClr val="000000"/>
                          </a:solidFill>
                          <a:miter lim="800000"/>
                          <a:headEnd/>
                          <a:tailEnd/>
                        </a:ln>
                      </wps:spPr>
                      <wps:txbx>
                        <w:txbxContent>
                          <w:p w14:paraId="52F32D5A" w14:textId="2136AD34" w:rsidR="005F19AA" w:rsidRPr="005F19AA" w:rsidRDefault="008459FC" w:rsidP="003E0875">
                            <w:pPr>
                              <w:spacing w:after="0" w:line="240" w:lineRule="auto"/>
                              <w:jc w:val="right"/>
                              <w:rPr>
                                <w:b/>
                                <w:bCs/>
                                <w:color w:val="FFFFFF" w:themeColor="background1"/>
                                <w:sz w:val="36"/>
                                <w:szCs w:val="36"/>
                              </w:rPr>
                            </w:pPr>
                            <w:r>
                              <w:rPr>
                                <w:b/>
                                <w:bCs/>
                                <w:color w:val="FFFFFF" w:themeColor="background1"/>
                                <w:sz w:val="36"/>
                                <w:szCs w:val="36"/>
                              </w:rPr>
                              <w:t xml:space="preserve">ACTIVITY: </w:t>
                            </w:r>
                            <w:r w:rsidR="00861B43">
                              <w:rPr>
                                <w:b/>
                                <w:bCs/>
                                <w:color w:val="FFFFFF" w:themeColor="background1"/>
                                <w:sz w:val="36"/>
                                <w:szCs w:val="36"/>
                              </w:rPr>
                              <w:t>Regulators and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7704F" id="_x0000_t202" coordsize="21600,21600" o:spt="202" path="m,l,21600r21600,l21600,xe">
                <v:stroke joinstyle="miter"/>
                <v:path gradientshapeok="t" o:connecttype="rect"/>
              </v:shapetype>
              <v:shape id="Text Box 2" o:spid="_x0000_s1026" type="#_x0000_t202" style="position:absolute;margin-left:419.8pt;margin-top:0;width:471pt;height:37.5pt;z-index:251663360;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" fillcolor="#5f497a [2407]">
                <v:textbox>
                  <w:txbxContent>
                    <w:p w14:paraId="52F32D5A" w14:textId="2136AD34" w:rsidR="005F19AA" w:rsidRPr="005F19AA" w:rsidRDefault="008459FC" w:rsidP="003E0875">
                      <w:pPr>
                        <w:spacing w:after="0" w:line="240" w:lineRule="auto"/>
                        <w:jc w:val="right"/>
                        <w:rPr>
                          <w:b/>
                          <w:bCs/>
                          <w:color w:val="FFFFFF" w:themeColor="background1"/>
                          <w:sz w:val="36"/>
                          <w:szCs w:val="36"/>
                        </w:rPr>
                      </w:pPr>
                      <w:r>
                        <w:rPr>
                          <w:b/>
                          <w:bCs/>
                          <w:color w:val="FFFFFF" w:themeColor="background1"/>
                          <w:sz w:val="36"/>
                          <w:szCs w:val="36"/>
                        </w:rPr>
                        <w:t xml:space="preserve">ACTIVITY: </w:t>
                      </w:r>
                      <w:r w:rsidR="00861B43">
                        <w:rPr>
                          <w:b/>
                          <w:bCs/>
                          <w:color w:val="FFFFFF" w:themeColor="background1"/>
                          <w:sz w:val="36"/>
                          <w:szCs w:val="36"/>
                        </w:rPr>
                        <w:t>Regulators and Regulations</w:t>
                      </w:r>
                    </w:p>
                  </w:txbxContent>
                </v:textbox>
                <w10:wrap type="through" anchorx="margin" anchory="margin"/>
              </v:shape>
            </w:pict>
          </mc:Fallback>
        </mc:AlternateContent>
      </w:r>
      <w:r w:rsidRPr="006D21D7">
        <w:rPr>
          <w:noProof/>
          <w:color w:val="000000" w:themeColor="text1"/>
          <w:sz w:val="18"/>
          <w:szCs w:val="18"/>
        </w:rPr>
        <w:drawing>
          <wp:anchor distT="0" distB="0" distL="114300" distR="114300" simplePos="0" relativeHeight="251664384" behindDoc="0" locked="0" layoutInCell="1" allowOverlap="1" wp14:anchorId="6B00A2E3" wp14:editId="5F60BD11">
            <wp:simplePos x="0" y="0"/>
            <wp:positionH relativeFrom="margin">
              <wp:posOffset>-47625</wp:posOffset>
            </wp:positionH>
            <wp:positionV relativeFrom="margin">
              <wp:posOffset>-200025</wp:posOffset>
            </wp:positionV>
            <wp:extent cx="962025" cy="875030"/>
            <wp:effectExtent l="38100" t="38100" r="47625" b="39370"/>
            <wp:wrapThrough wrapText="bothSides">
              <wp:wrapPolygon edited="0">
                <wp:start x="-855" y="-940"/>
                <wp:lineTo x="-855" y="22102"/>
                <wp:lineTo x="22242" y="22102"/>
                <wp:lineTo x="22242" y="-940"/>
                <wp:lineTo x="-855" y="-94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75030"/>
                    </a:xfrm>
                    <a:prstGeom prst="rect">
                      <a:avLst/>
                    </a:prstGeom>
                    <a:ln w="28575">
                      <a:solidFill>
                        <a:schemeClr val="accent4">
                          <a:lumMod val="50000"/>
                        </a:schemeClr>
                      </a:solidFill>
                    </a:ln>
                  </pic:spPr>
                </pic:pic>
              </a:graphicData>
            </a:graphic>
            <wp14:sizeRelH relativeFrom="margin">
              <wp14:pctWidth>0</wp14:pctWidth>
            </wp14:sizeRelH>
            <wp14:sizeRelV relativeFrom="margin">
              <wp14:pctHeight>0</wp14:pctHeight>
            </wp14:sizeRelV>
          </wp:anchor>
        </w:drawing>
      </w:r>
    </w:p>
    <w:p w14:paraId="671CCBC0" w14:textId="120CAF69" w:rsidR="008459FC" w:rsidRPr="008459FC" w:rsidRDefault="008459FC" w:rsidP="00DA5A97">
      <w:pPr>
        <w:spacing w:after="0" w:line="240" w:lineRule="auto"/>
        <w:rPr>
          <w:b/>
          <w:bCs/>
          <w:color w:val="000000" w:themeColor="text1"/>
          <w:sz w:val="28"/>
          <w:szCs w:val="28"/>
        </w:rPr>
      </w:pPr>
      <w:r w:rsidRPr="008459FC">
        <w:rPr>
          <w:b/>
          <w:bCs/>
          <w:color w:val="000000" w:themeColor="text1"/>
          <w:sz w:val="28"/>
          <w:szCs w:val="28"/>
        </w:rPr>
        <w:t>Overview</w:t>
      </w:r>
      <w:r w:rsidR="00A3392E" w:rsidRPr="008459FC">
        <w:rPr>
          <w:b/>
          <w:bCs/>
          <w:color w:val="000000" w:themeColor="text1"/>
          <w:sz w:val="28"/>
          <w:szCs w:val="28"/>
        </w:rPr>
        <w:t>:</w:t>
      </w:r>
    </w:p>
    <w:p w14:paraId="5DDB4AEA" w14:textId="1F0AD854" w:rsidR="00A3392E" w:rsidRPr="00361447" w:rsidRDefault="00BC5C8E" w:rsidP="00DA5A97">
      <w:pPr>
        <w:spacing w:after="0" w:line="240" w:lineRule="auto"/>
        <w:rPr>
          <w:rFonts w:ascii="Arial" w:hAnsi="Arial" w:cs="Arial"/>
          <w:i/>
          <w:iCs/>
          <w:color w:val="2B2B2B"/>
          <w:sz w:val="20"/>
          <w:szCs w:val="20"/>
          <w:shd w:val="clear" w:color="auto" w:fill="FFFFFF"/>
        </w:rPr>
      </w:pPr>
      <w:r w:rsidRPr="00361447">
        <w:rPr>
          <w:rFonts w:ascii="Arial" w:hAnsi="Arial" w:cs="Arial"/>
          <w:i/>
          <w:iCs/>
          <w:color w:val="2B2B2B"/>
          <w:sz w:val="20"/>
          <w:szCs w:val="20"/>
          <w:shd w:val="clear" w:color="auto" w:fill="FFFFFF"/>
        </w:rPr>
        <w:t>According to the Office of Research at UC-Davis, “The United States export laws and regulations operate to restrict the use of and access to controlled information, goods, and technology for reasons of national security or protection of trade. The export control regulations are not new. Federal regulations restricting the export of goods and technology out of the country have been around since the 1940’s. However, in recent years, attention to export control compliance has increased because of heightened concerns about homeland security, the proliferation of weapons of mass destruction, terrorism, drug trafficking, and leaks of U.S. technology to foreign competitors.”</w:t>
      </w:r>
    </w:p>
    <w:p w14:paraId="7E19CAE8" w14:textId="3E8A0F8E" w:rsidR="00BC5C8E" w:rsidRPr="00361447" w:rsidRDefault="00BC5C8E" w:rsidP="00DA5A97">
      <w:pPr>
        <w:spacing w:after="0" w:line="240" w:lineRule="auto"/>
        <w:rPr>
          <w:rFonts w:ascii="Arial" w:hAnsi="Arial" w:cs="Arial"/>
          <w:i/>
          <w:iCs/>
          <w:color w:val="2B2B2B"/>
          <w:sz w:val="20"/>
          <w:szCs w:val="20"/>
          <w:shd w:val="clear" w:color="auto" w:fill="FFFFFF"/>
        </w:rPr>
      </w:pPr>
    </w:p>
    <w:p w14:paraId="51839C5E" w14:textId="4B296C83" w:rsidR="00BC5C8E" w:rsidRPr="00361447" w:rsidRDefault="00BC5C8E" w:rsidP="00DA5A97">
      <w:pPr>
        <w:spacing w:after="0" w:line="240" w:lineRule="auto"/>
        <w:rPr>
          <w:i/>
          <w:iCs/>
          <w:color w:val="000000" w:themeColor="text1"/>
          <w:sz w:val="20"/>
          <w:szCs w:val="20"/>
        </w:rPr>
      </w:pPr>
      <w:r w:rsidRPr="00361447">
        <w:rPr>
          <w:rFonts w:ascii="Arial" w:hAnsi="Arial" w:cs="Arial"/>
          <w:i/>
          <w:iCs/>
          <w:color w:val="2B2B2B"/>
          <w:sz w:val="20"/>
          <w:szCs w:val="20"/>
          <w:shd w:val="clear" w:color="auto" w:fill="FFFFFF"/>
        </w:rPr>
        <w:t>There are numerous international, national, state, and local agencies and organizations that regulate some part of the supply chain. Understanding the role and responsibilities of these agencies and organizations is crucial to maintaining a</w:t>
      </w:r>
      <w:r w:rsidR="0061675E">
        <w:rPr>
          <w:rFonts w:ascii="Arial" w:hAnsi="Arial" w:cs="Arial"/>
          <w:i/>
          <w:iCs/>
          <w:color w:val="2B2B2B"/>
          <w:sz w:val="20"/>
          <w:szCs w:val="20"/>
          <w:shd w:val="clear" w:color="auto" w:fill="FFFFFF"/>
        </w:rPr>
        <w:t xml:space="preserve"> lean and agile</w:t>
      </w:r>
      <w:r w:rsidR="002C7E04" w:rsidRPr="00361447">
        <w:rPr>
          <w:rFonts w:ascii="Arial" w:hAnsi="Arial" w:cs="Arial"/>
          <w:i/>
          <w:iCs/>
          <w:color w:val="2B2B2B"/>
          <w:sz w:val="20"/>
          <w:szCs w:val="20"/>
          <w:shd w:val="clear" w:color="auto" w:fill="FFFFFF"/>
        </w:rPr>
        <w:t xml:space="preserve"> supply chain.</w:t>
      </w:r>
    </w:p>
    <w:p w14:paraId="3263E446" w14:textId="77777777" w:rsidR="006D21D7" w:rsidRPr="00361447" w:rsidRDefault="006D21D7" w:rsidP="00DA5A97">
      <w:pPr>
        <w:spacing w:after="0" w:line="240" w:lineRule="auto"/>
        <w:rPr>
          <w:i/>
          <w:iCs/>
          <w:color w:val="000000" w:themeColor="text1"/>
          <w:sz w:val="20"/>
          <w:szCs w:val="20"/>
        </w:rPr>
      </w:pPr>
    </w:p>
    <w:p w14:paraId="2F209A91" w14:textId="463A2031" w:rsidR="006D21D7" w:rsidRDefault="008459FC" w:rsidP="00DA5A97">
      <w:pPr>
        <w:spacing w:after="0" w:line="240" w:lineRule="auto"/>
        <w:rPr>
          <w:b/>
          <w:bCs/>
          <w:i/>
          <w:iCs/>
          <w:color w:val="000000" w:themeColor="text1"/>
        </w:rPr>
      </w:pPr>
      <w:r w:rsidRPr="008459FC">
        <w:rPr>
          <w:b/>
          <w:bCs/>
          <w:color w:val="000000" w:themeColor="text1"/>
          <w:sz w:val="28"/>
          <w:szCs w:val="28"/>
        </w:rPr>
        <w:t>Directions</w:t>
      </w:r>
      <w:r w:rsidR="00A3392E" w:rsidRPr="008459FC">
        <w:rPr>
          <w:b/>
          <w:bCs/>
          <w:color w:val="000000" w:themeColor="text1"/>
          <w:sz w:val="28"/>
          <w:szCs w:val="28"/>
        </w:rPr>
        <w:t>:</w:t>
      </w:r>
      <w:r w:rsidR="00DA6C1D">
        <w:rPr>
          <w:b/>
          <w:bCs/>
          <w:color w:val="000000" w:themeColor="text1"/>
          <w:sz w:val="28"/>
          <w:szCs w:val="28"/>
        </w:rPr>
        <w:t xml:space="preserve"> </w:t>
      </w:r>
      <w:r w:rsidR="00DA6C1D" w:rsidRPr="00DA6C1D">
        <w:rPr>
          <w:b/>
          <w:bCs/>
          <w:i/>
          <w:iCs/>
          <w:color w:val="000000" w:themeColor="text1"/>
        </w:rPr>
        <w:t>(Assignment is worth 100 points.)</w:t>
      </w:r>
    </w:p>
    <w:p w14:paraId="050DE6E8" w14:textId="15C888FB" w:rsidR="002C7E04" w:rsidRDefault="00861B43" w:rsidP="00861B43">
      <w:pPr>
        <w:spacing w:after="0" w:line="240" w:lineRule="auto"/>
        <w:rPr>
          <w:color w:val="000000" w:themeColor="text1"/>
        </w:rPr>
      </w:pPr>
      <w:r w:rsidRPr="00861B43">
        <w:rPr>
          <w:color w:val="000000" w:themeColor="text1"/>
        </w:rPr>
        <w:t>Create a chart listing international, national, state, and local agencies and organizations that regulate some part of the supply chain and the role played by each. Indicate what areas each agency has jurisdiction over.</w:t>
      </w:r>
      <w:r w:rsidR="00361447">
        <w:rPr>
          <w:color w:val="000000" w:themeColor="text1"/>
        </w:rPr>
        <w:t xml:space="preserve"> Also, a</w:t>
      </w:r>
      <w:r w:rsidR="00361447" w:rsidRPr="00361447">
        <w:rPr>
          <w:color w:val="000000" w:themeColor="text1"/>
        </w:rPr>
        <w:t>nalyze the impact of international trade agreements on logistics decisions</w:t>
      </w:r>
    </w:p>
    <w:p w14:paraId="3929FC1E" w14:textId="77777777" w:rsidR="002C7E04" w:rsidRDefault="002C7E04" w:rsidP="00861B43">
      <w:pPr>
        <w:spacing w:after="0" w:line="240" w:lineRule="auto"/>
        <w:rPr>
          <w:color w:val="000000" w:themeColor="text1"/>
        </w:rPr>
      </w:pPr>
    </w:p>
    <w:p w14:paraId="77D7C65E" w14:textId="67F3760D" w:rsidR="002C7E04" w:rsidRPr="00A817D1" w:rsidRDefault="00A817D1" w:rsidP="00861B43">
      <w:pPr>
        <w:spacing w:after="0" w:line="240" w:lineRule="auto"/>
        <w:rPr>
          <w:b/>
          <w:bCs/>
          <w:color w:val="000000" w:themeColor="text1"/>
          <w:u w:val="single"/>
        </w:rPr>
      </w:pPr>
      <w:r w:rsidRPr="00A817D1">
        <w:rPr>
          <w:b/>
          <w:bCs/>
          <w:color w:val="000000" w:themeColor="text1"/>
          <w:u w:val="single"/>
        </w:rPr>
        <w:t>A</w:t>
      </w:r>
      <w:r w:rsidR="00861B43" w:rsidRPr="00861B43">
        <w:rPr>
          <w:b/>
          <w:bCs/>
          <w:color w:val="000000" w:themeColor="text1"/>
          <w:u w:val="single"/>
        </w:rPr>
        <w:t>gencies</w:t>
      </w:r>
      <w:r w:rsidRPr="00A817D1">
        <w:rPr>
          <w:b/>
          <w:bCs/>
          <w:color w:val="000000" w:themeColor="text1"/>
          <w:u w:val="single"/>
        </w:rPr>
        <w:t xml:space="preserve"> to</w:t>
      </w:r>
      <w:r w:rsidR="00861B43" w:rsidRPr="00861B43">
        <w:rPr>
          <w:b/>
          <w:bCs/>
          <w:color w:val="000000" w:themeColor="text1"/>
          <w:u w:val="single"/>
        </w:rPr>
        <w:t xml:space="preserve"> include:</w:t>
      </w:r>
    </w:p>
    <w:p w14:paraId="44DCE016" w14:textId="58843DE2"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Department of Transportation (DOT)</w:t>
      </w:r>
    </w:p>
    <w:p w14:paraId="6121238F" w14:textId="395032BC" w:rsidR="002C7E04" w:rsidRDefault="00861B43" w:rsidP="00A817D1">
      <w:pPr>
        <w:pStyle w:val="ListParagraph"/>
        <w:numPr>
          <w:ilvl w:val="0"/>
          <w:numId w:val="17"/>
        </w:numPr>
        <w:spacing w:after="0" w:line="240" w:lineRule="auto"/>
        <w:rPr>
          <w:color w:val="000000" w:themeColor="text1"/>
        </w:rPr>
      </w:pPr>
      <w:r w:rsidRPr="00A817D1">
        <w:rPr>
          <w:color w:val="000000" w:themeColor="text1"/>
        </w:rPr>
        <w:t>Customs and Border Protection (CBP)</w:t>
      </w:r>
    </w:p>
    <w:p w14:paraId="7E47D1EF" w14:textId="1A95E85E" w:rsidR="00531119" w:rsidRDefault="00531119" w:rsidP="00A817D1">
      <w:pPr>
        <w:pStyle w:val="ListParagraph"/>
        <w:numPr>
          <w:ilvl w:val="0"/>
          <w:numId w:val="17"/>
        </w:numPr>
        <w:spacing w:after="0" w:line="240" w:lineRule="auto"/>
        <w:rPr>
          <w:color w:val="000000" w:themeColor="text1"/>
        </w:rPr>
      </w:pPr>
      <w:r>
        <w:rPr>
          <w:color w:val="000000" w:themeColor="text1"/>
        </w:rPr>
        <w:t>Department of Commerce</w:t>
      </w:r>
    </w:p>
    <w:p w14:paraId="1E369E27" w14:textId="04002B67" w:rsidR="00531119" w:rsidRDefault="00531119" w:rsidP="00A817D1">
      <w:pPr>
        <w:pStyle w:val="ListParagraph"/>
        <w:numPr>
          <w:ilvl w:val="0"/>
          <w:numId w:val="17"/>
        </w:numPr>
        <w:spacing w:after="0" w:line="240" w:lineRule="auto"/>
        <w:rPr>
          <w:color w:val="000000" w:themeColor="text1"/>
        </w:rPr>
      </w:pPr>
      <w:r>
        <w:rPr>
          <w:color w:val="000000" w:themeColor="text1"/>
        </w:rPr>
        <w:t>Food and Drug Administration (FDA)</w:t>
      </w:r>
    </w:p>
    <w:p w14:paraId="158DCC50" w14:textId="696E435F" w:rsidR="00531119" w:rsidRPr="00A817D1" w:rsidRDefault="00531119" w:rsidP="00A817D1">
      <w:pPr>
        <w:pStyle w:val="ListParagraph"/>
        <w:numPr>
          <w:ilvl w:val="0"/>
          <w:numId w:val="17"/>
        </w:numPr>
        <w:spacing w:after="0" w:line="240" w:lineRule="auto"/>
        <w:rPr>
          <w:color w:val="000000" w:themeColor="text1"/>
        </w:rPr>
      </w:pPr>
      <w:r>
        <w:rPr>
          <w:color w:val="000000" w:themeColor="text1"/>
        </w:rPr>
        <w:t>Federal Maritime Commission</w:t>
      </w:r>
    </w:p>
    <w:p w14:paraId="68879DF3" w14:textId="2352586D" w:rsidR="002C7E04" w:rsidRPr="00A817D1" w:rsidRDefault="002C7E04" w:rsidP="00A817D1">
      <w:pPr>
        <w:pStyle w:val="ListParagraph"/>
        <w:numPr>
          <w:ilvl w:val="0"/>
          <w:numId w:val="17"/>
        </w:numPr>
        <w:spacing w:after="0" w:line="240" w:lineRule="auto"/>
        <w:rPr>
          <w:color w:val="000000" w:themeColor="text1"/>
        </w:rPr>
      </w:pPr>
      <w:r w:rsidRPr="00A817D1">
        <w:rPr>
          <w:color w:val="000000" w:themeColor="text1"/>
        </w:rPr>
        <w:t xml:space="preserve">Department of </w:t>
      </w:r>
      <w:r w:rsidR="00861B43" w:rsidRPr="00A817D1">
        <w:rPr>
          <w:color w:val="000000" w:themeColor="text1"/>
        </w:rPr>
        <w:t>Homeland Security (</w:t>
      </w:r>
      <w:r w:rsidRPr="00A817D1">
        <w:rPr>
          <w:color w:val="000000" w:themeColor="text1"/>
        </w:rPr>
        <w:t>D</w:t>
      </w:r>
      <w:r w:rsidR="00861B43" w:rsidRPr="00A817D1">
        <w:rPr>
          <w:color w:val="000000" w:themeColor="text1"/>
        </w:rPr>
        <w:t>HS)</w:t>
      </w:r>
    </w:p>
    <w:p w14:paraId="73F8EC72" w14:textId="737BD38B"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Environmental Protection Agency (EPA)</w:t>
      </w:r>
    </w:p>
    <w:p w14:paraId="4E22ECC4" w14:textId="6B6EB3D6"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Occupational Safety and Health Administration (OSHA)</w:t>
      </w:r>
    </w:p>
    <w:p w14:paraId="4A962DFA" w14:textId="793A41BE"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World Shipping Council</w:t>
      </w:r>
    </w:p>
    <w:p w14:paraId="159E3E6B" w14:textId="77777777" w:rsidR="00531119" w:rsidRDefault="00861B43" w:rsidP="00A817D1">
      <w:pPr>
        <w:pStyle w:val="ListParagraph"/>
        <w:numPr>
          <w:ilvl w:val="0"/>
          <w:numId w:val="17"/>
        </w:numPr>
        <w:spacing w:after="0" w:line="240" w:lineRule="auto"/>
        <w:rPr>
          <w:color w:val="000000" w:themeColor="text1"/>
        </w:rPr>
      </w:pPr>
      <w:r w:rsidRPr="00A817D1">
        <w:rPr>
          <w:color w:val="000000" w:themeColor="text1"/>
        </w:rPr>
        <w:t>United Nations</w:t>
      </w:r>
    </w:p>
    <w:p w14:paraId="102A9B9C" w14:textId="72CD3F7F" w:rsidR="002C7E04" w:rsidRDefault="00861B43" w:rsidP="00531119">
      <w:pPr>
        <w:pStyle w:val="ListParagraph"/>
        <w:numPr>
          <w:ilvl w:val="1"/>
          <w:numId w:val="17"/>
        </w:numPr>
        <w:spacing w:after="0" w:line="240" w:lineRule="auto"/>
        <w:rPr>
          <w:color w:val="000000" w:themeColor="text1"/>
        </w:rPr>
      </w:pPr>
      <w:r w:rsidRPr="00A817D1">
        <w:rPr>
          <w:color w:val="000000" w:themeColor="text1"/>
        </w:rPr>
        <w:t>International Maritime Organization (IMO)</w:t>
      </w:r>
    </w:p>
    <w:p w14:paraId="656C6AA0" w14:textId="77777777" w:rsidR="00531119" w:rsidRPr="00531119" w:rsidRDefault="00531119" w:rsidP="00531119">
      <w:pPr>
        <w:pStyle w:val="ListParagraph"/>
        <w:numPr>
          <w:ilvl w:val="1"/>
          <w:numId w:val="17"/>
        </w:numPr>
        <w:spacing w:after="0"/>
        <w:rPr>
          <w:color w:val="000000" w:themeColor="text1"/>
        </w:rPr>
      </w:pPr>
      <w:r w:rsidRPr="00531119">
        <w:rPr>
          <w:color w:val="000000" w:themeColor="text1"/>
        </w:rPr>
        <w:t>United Nations Commission on International Trade Law</w:t>
      </w:r>
    </w:p>
    <w:p w14:paraId="35BD1B66" w14:textId="4405AFAD"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International Organization for Standardization (ISO)</w:t>
      </w:r>
    </w:p>
    <w:p w14:paraId="45496992" w14:textId="6F9E74E9" w:rsidR="002C7E04" w:rsidRPr="00A817D1" w:rsidRDefault="00861B43" w:rsidP="00A817D1">
      <w:pPr>
        <w:pStyle w:val="ListParagraph"/>
        <w:numPr>
          <w:ilvl w:val="0"/>
          <w:numId w:val="17"/>
        </w:numPr>
        <w:spacing w:after="0" w:line="240" w:lineRule="auto"/>
        <w:rPr>
          <w:color w:val="000000" w:themeColor="text1"/>
        </w:rPr>
      </w:pPr>
      <w:r w:rsidRPr="00A817D1">
        <w:rPr>
          <w:color w:val="000000" w:themeColor="text1"/>
        </w:rPr>
        <w:t>World Customs Organization (WCO)</w:t>
      </w:r>
    </w:p>
    <w:p w14:paraId="1FF5D1DC" w14:textId="480F7D5E" w:rsidR="00861B43" w:rsidRPr="00A817D1" w:rsidRDefault="002C7E04" w:rsidP="00A817D1">
      <w:pPr>
        <w:pStyle w:val="ListParagraph"/>
        <w:numPr>
          <w:ilvl w:val="0"/>
          <w:numId w:val="17"/>
        </w:numPr>
        <w:spacing w:after="0" w:line="240" w:lineRule="auto"/>
        <w:rPr>
          <w:color w:val="000000" w:themeColor="text1"/>
        </w:rPr>
      </w:pPr>
      <w:r w:rsidRPr="00A817D1">
        <w:rPr>
          <w:color w:val="000000" w:themeColor="text1"/>
        </w:rPr>
        <w:t>World Trade Organization (WTO)</w:t>
      </w:r>
    </w:p>
    <w:p w14:paraId="3EF1C880" w14:textId="1AB9E7BD" w:rsidR="00861B43" w:rsidRDefault="00861B43" w:rsidP="00DA5A97">
      <w:pPr>
        <w:spacing w:after="0" w:line="240" w:lineRule="auto"/>
        <w:rPr>
          <w:color w:val="000000" w:themeColor="text1"/>
        </w:rPr>
      </w:pPr>
    </w:p>
    <w:p w14:paraId="68FBF328" w14:textId="52892975" w:rsidR="002C7E04" w:rsidRPr="0007795C" w:rsidRDefault="002C7E04" w:rsidP="00DA5A97">
      <w:pPr>
        <w:spacing w:after="0" w:line="240" w:lineRule="auto"/>
        <w:rPr>
          <w:b/>
          <w:bCs/>
          <w:color w:val="000000" w:themeColor="text1"/>
          <w:u w:val="single"/>
        </w:rPr>
      </w:pPr>
      <w:r w:rsidRPr="0007795C">
        <w:rPr>
          <w:b/>
          <w:bCs/>
          <w:color w:val="000000" w:themeColor="text1"/>
          <w:u w:val="single"/>
        </w:rPr>
        <w:t>Regulations</w:t>
      </w:r>
      <w:r w:rsidR="00361447">
        <w:rPr>
          <w:b/>
          <w:bCs/>
          <w:color w:val="000000" w:themeColor="text1"/>
          <w:u w:val="single"/>
        </w:rPr>
        <w:t>/Trade Agreements</w:t>
      </w:r>
      <w:r w:rsidR="0007795C" w:rsidRPr="0007795C">
        <w:rPr>
          <w:b/>
          <w:bCs/>
          <w:color w:val="000000" w:themeColor="text1"/>
          <w:u w:val="single"/>
        </w:rPr>
        <w:t xml:space="preserve"> to</w:t>
      </w:r>
      <w:r w:rsidRPr="0007795C">
        <w:rPr>
          <w:b/>
          <w:bCs/>
          <w:color w:val="000000" w:themeColor="text1"/>
          <w:u w:val="single"/>
        </w:rPr>
        <w:t xml:space="preserve"> include:</w:t>
      </w:r>
    </w:p>
    <w:p w14:paraId="6517B5F7" w14:textId="05124959" w:rsidR="0007795C" w:rsidRDefault="0007795C" w:rsidP="00DA5A97">
      <w:pPr>
        <w:spacing w:after="0" w:line="240" w:lineRule="auto"/>
        <w:rPr>
          <w:color w:val="000000" w:themeColor="text1"/>
        </w:rPr>
      </w:pPr>
      <w:r>
        <w:rPr>
          <w:color w:val="000000" w:themeColor="text1"/>
        </w:rPr>
        <w:t>Clean Water and Air Act</w:t>
      </w:r>
    </w:p>
    <w:p w14:paraId="2994843F" w14:textId="00C6F81B" w:rsidR="0007795C" w:rsidRDefault="0007795C" w:rsidP="00DA5A97">
      <w:pPr>
        <w:spacing w:after="0" w:line="240" w:lineRule="auto"/>
        <w:rPr>
          <w:color w:val="000000" w:themeColor="text1"/>
        </w:rPr>
      </w:pPr>
      <w:r>
        <w:rPr>
          <w:color w:val="000000" w:themeColor="text1"/>
        </w:rPr>
        <w:t>Container Security Initiative (CSI)</w:t>
      </w:r>
    </w:p>
    <w:p w14:paraId="5B7A4F8D" w14:textId="0D67E062" w:rsidR="00A817D1" w:rsidRDefault="00A817D1" w:rsidP="00DA5A97">
      <w:pPr>
        <w:spacing w:after="0" w:line="240" w:lineRule="auto"/>
        <w:rPr>
          <w:color w:val="000000" w:themeColor="text1"/>
        </w:rPr>
      </w:pPr>
      <w:r>
        <w:rPr>
          <w:color w:val="000000" w:themeColor="text1"/>
        </w:rPr>
        <w:t>Customs-Trade Partnership Against Terrorism (C-</w:t>
      </w:r>
      <w:proofErr w:type="spellStart"/>
      <w:r>
        <w:rPr>
          <w:color w:val="000000" w:themeColor="text1"/>
        </w:rPr>
        <w:t>TPAT</w:t>
      </w:r>
      <w:proofErr w:type="spellEnd"/>
      <w:r>
        <w:rPr>
          <w:color w:val="000000" w:themeColor="text1"/>
        </w:rPr>
        <w:t>)</w:t>
      </w:r>
    </w:p>
    <w:p w14:paraId="5B593690" w14:textId="098009B9" w:rsidR="002C7E04" w:rsidRDefault="002C7E04" w:rsidP="00096EE9">
      <w:pPr>
        <w:spacing w:after="0" w:line="240" w:lineRule="auto"/>
        <w:rPr>
          <w:color w:val="000000" w:themeColor="text1"/>
        </w:rPr>
      </w:pPr>
      <w:r>
        <w:rPr>
          <w:color w:val="000000" w:themeColor="text1"/>
        </w:rPr>
        <w:t>Export Administration Regulations</w:t>
      </w:r>
      <w:r w:rsidR="00096EE9">
        <w:rPr>
          <w:color w:val="000000" w:themeColor="text1"/>
        </w:rPr>
        <w:t xml:space="preserve"> – include </w:t>
      </w:r>
      <w:r>
        <w:rPr>
          <w:color w:val="000000" w:themeColor="text1"/>
        </w:rPr>
        <w:t>Antiboycott Regulations</w:t>
      </w:r>
    </w:p>
    <w:p w14:paraId="196E1A98" w14:textId="151C62F3" w:rsidR="00D33181" w:rsidRDefault="00D33181" w:rsidP="00D33181">
      <w:pPr>
        <w:spacing w:after="0" w:line="240" w:lineRule="auto"/>
        <w:rPr>
          <w:color w:val="000000" w:themeColor="text1"/>
        </w:rPr>
      </w:pPr>
      <w:r>
        <w:rPr>
          <w:color w:val="000000" w:themeColor="text1"/>
        </w:rPr>
        <w:t>Free Trade Agreements (</w:t>
      </w:r>
      <w:hyperlink r:id="rId8" w:history="1">
        <w:r w:rsidRPr="00D33181">
          <w:rPr>
            <w:rStyle w:val="Hyperlink"/>
          </w:rPr>
          <w:t>https://ustr.gov/trade-agreements/free-trade-agreements</w:t>
        </w:r>
      </w:hyperlink>
      <w:r>
        <w:rPr>
          <w:color w:val="000000" w:themeColor="text1"/>
        </w:rPr>
        <w:t>)</w:t>
      </w:r>
    </w:p>
    <w:p w14:paraId="64EA738C" w14:textId="1698F596" w:rsidR="0007795C" w:rsidRDefault="0007795C" w:rsidP="0007795C">
      <w:pPr>
        <w:spacing w:after="0" w:line="240" w:lineRule="auto"/>
        <w:rPr>
          <w:color w:val="000000" w:themeColor="text1"/>
        </w:rPr>
      </w:pPr>
      <w:r>
        <w:rPr>
          <w:color w:val="000000" w:themeColor="text1"/>
        </w:rPr>
        <w:t>Free and Secure Trade (FAST)</w:t>
      </w:r>
    </w:p>
    <w:p w14:paraId="363F08CE" w14:textId="77777777" w:rsidR="0007795C" w:rsidRDefault="0007795C" w:rsidP="0007795C">
      <w:pPr>
        <w:spacing w:after="0" w:line="240" w:lineRule="auto"/>
        <w:rPr>
          <w:color w:val="000000" w:themeColor="text1"/>
        </w:rPr>
      </w:pPr>
      <w:r>
        <w:rPr>
          <w:color w:val="000000" w:themeColor="text1"/>
        </w:rPr>
        <w:t>Interconnection Security Agreement (ISA)</w:t>
      </w:r>
    </w:p>
    <w:p w14:paraId="79BEC158" w14:textId="4E11D4CA" w:rsidR="002C7E04" w:rsidRDefault="002C7E04" w:rsidP="00DA5A97">
      <w:pPr>
        <w:spacing w:after="0" w:line="240" w:lineRule="auto"/>
        <w:rPr>
          <w:color w:val="000000" w:themeColor="text1"/>
        </w:rPr>
      </w:pPr>
      <w:r>
        <w:rPr>
          <w:color w:val="000000" w:themeColor="text1"/>
        </w:rPr>
        <w:t>International Copyright Laws</w:t>
      </w:r>
    </w:p>
    <w:p w14:paraId="558719E8" w14:textId="2B41949D" w:rsidR="002C7E04" w:rsidRDefault="002C7E04" w:rsidP="00DA5A97">
      <w:pPr>
        <w:spacing w:after="0" w:line="240" w:lineRule="auto"/>
        <w:rPr>
          <w:color w:val="000000" w:themeColor="text1"/>
        </w:rPr>
      </w:pPr>
      <w:r>
        <w:rPr>
          <w:color w:val="000000" w:themeColor="text1"/>
        </w:rPr>
        <w:t>NAFTA</w:t>
      </w:r>
    </w:p>
    <w:p w14:paraId="0DEF1358" w14:textId="1DDBB982" w:rsidR="0007795C" w:rsidRDefault="0007795C" w:rsidP="00DA5A97">
      <w:pPr>
        <w:spacing w:after="0" w:line="240" w:lineRule="auto"/>
        <w:rPr>
          <w:color w:val="000000" w:themeColor="text1"/>
        </w:rPr>
      </w:pPr>
      <w:r>
        <w:rPr>
          <w:color w:val="000000" w:themeColor="text1"/>
        </w:rPr>
        <w:t>National Environmental Policy Act</w:t>
      </w:r>
    </w:p>
    <w:p w14:paraId="74708D5B" w14:textId="2AF24A47" w:rsidR="0007795C" w:rsidRDefault="0007795C" w:rsidP="00DA5A97">
      <w:pPr>
        <w:spacing w:after="0" w:line="240" w:lineRule="auto"/>
        <w:rPr>
          <w:color w:val="000000" w:themeColor="text1"/>
        </w:rPr>
      </w:pPr>
      <w:r>
        <w:rPr>
          <w:color w:val="000000" w:themeColor="text1"/>
        </w:rPr>
        <w:t>U.S. Foreign Corrupt Practices Act</w:t>
      </w:r>
    </w:p>
    <w:p w14:paraId="2C18585E" w14:textId="3D02C812" w:rsidR="00441559" w:rsidRPr="00441559" w:rsidRDefault="00441559" w:rsidP="00441559">
      <w:pPr>
        <w:tabs>
          <w:tab w:val="left" w:pos="3315"/>
        </w:tabs>
      </w:pPr>
      <w:r>
        <w:tab/>
      </w:r>
    </w:p>
    <w:sectPr w:rsidR="00441559" w:rsidRPr="00441559" w:rsidSect="00B06689">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0166" w14:textId="77777777" w:rsidR="00183EF3" w:rsidRDefault="00183EF3" w:rsidP="0011662E">
      <w:pPr>
        <w:spacing w:after="0" w:line="240" w:lineRule="auto"/>
      </w:pPr>
      <w:r>
        <w:separator/>
      </w:r>
    </w:p>
  </w:endnote>
  <w:endnote w:type="continuationSeparator" w:id="0">
    <w:p w14:paraId="31AB3AB1" w14:textId="77777777" w:rsidR="00183EF3" w:rsidRDefault="00183EF3"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E1F4F" w14:paraId="44C98CD7" w14:textId="77777777" w:rsidTr="008459FC">
      <w:trPr>
        <w:trHeight w:hRule="exact" w:val="115"/>
        <w:jc w:val="center"/>
      </w:trPr>
      <w:tc>
        <w:tcPr>
          <w:tcW w:w="4686" w:type="dxa"/>
          <w:shd w:val="clear" w:color="auto" w:fill="5F497A" w:themeFill="accent4" w:themeFillShade="BF"/>
          <w:tcMar>
            <w:top w:w="0" w:type="dxa"/>
            <w:bottom w:w="0" w:type="dxa"/>
          </w:tcMar>
        </w:tcPr>
        <w:p w14:paraId="11A1863D" w14:textId="77777777" w:rsidR="007E1F4F" w:rsidRDefault="007E1F4F">
          <w:pPr>
            <w:pStyle w:val="Header"/>
            <w:tabs>
              <w:tab w:val="clear" w:pos="4680"/>
              <w:tab w:val="clear" w:pos="9360"/>
            </w:tabs>
            <w:rPr>
              <w:caps/>
              <w:sz w:val="18"/>
            </w:rPr>
          </w:pPr>
        </w:p>
      </w:tc>
      <w:tc>
        <w:tcPr>
          <w:tcW w:w="4674" w:type="dxa"/>
          <w:shd w:val="clear" w:color="auto" w:fill="5F497A" w:themeFill="accent4" w:themeFillShade="BF"/>
          <w:tcMar>
            <w:top w:w="0" w:type="dxa"/>
            <w:bottom w:w="0" w:type="dxa"/>
          </w:tcMar>
        </w:tcPr>
        <w:p w14:paraId="7CA799F0" w14:textId="77777777" w:rsidR="007E1F4F" w:rsidRDefault="007E1F4F">
          <w:pPr>
            <w:pStyle w:val="Header"/>
            <w:tabs>
              <w:tab w:val="clear" w:pos="4680"/>
              <w:tab w:val="clear" w:pos="9360"/>
            </w:tabs>
            <w:jc w:val="right"/>
            <w:rPr>
              <w:caps/>
              <w:sz w:val="18"/>
            </w:rPr>
          </w:pPr>
        </w:p>
      </w:tc>
    </w:tr>
    <w:tr w:rsidR="007E1F4F" w14:paraId="0C4764AB" w14:textId="77777777">
      <w:trPr>
        <w:jc w:val="center"/>
      </w:trPr>
      <w:sdt>
        <w:sdtPr>
          <w:rPr>
            <w:caps/>
            <w:color w:val="808080" w:themeColor="background1" w:themeShade="80"/>
            <w:sz w:val="16"/>
            <w:szCs w:val="16"/>
          </w:rPr>
          <w:alias w:val="Author"/>
          <w:tag w:val=""/>
          <w:id w:val="1562290182"/>
          <w:placeholder>
            <w:docPart w:val="9E205A3607704D2E9CD148995B25BF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32CE94E" w14:textId="61B19366" w:rsidR="007E1F4F" w:rsidRPr="007F2FDC" w:rsidRDefault="00441559">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GLOBAL SUPPLY CHAINS AND REGULATIONS UNIT</w:t>
              </w:r>
            </w:p>
          </w:tc>
        </w:sdtContent>
      </w:sdt>
      <w:tc>
        <w:tcPr>
          <w:tcW w:w="4674" w:type="dxa"/>
          <w:shd w:val="clear" w:color="auto" w:fill="auto"/>
          <w:vAlign w:val="center"/>
        </w:tcPr>
        <w:p w14:paraId="6CFEF69A" w14:textId="12F82C78" w:rsidR="007E1F4F" w:rsidRPr="007F2FDC" w:rsidRDefault="007E1F4F">
          <w:pPr>
            <w:pStyle w:val="Footer"/>
            <w:tabs>
              <w:tab w:val="clear" w:pos="4680"/>
              <w:tab w:val="clear" w:pos="9360"/>
            </w:tabs>
            <w:jc w:val="right"/>
            <w:rPr>
              <w:caps/>
              <w:color w:val="808080" w:themeColor="background1" w:themeShade="80"/>
              <w:sz w:val="16"/>
              <w:szCs w:val="16"/>
            </w:rPr>
          </w:pPr>
          <w:r w:rsidRPr="007F2FDC">
            <w:rPr>
              <w:caps/>
              <w:color w:val="808080" w:themeColor="background1" w:themeShade="80"/>
              <w:sz w:val="16"/>
              <w:szCs w:val="16"/>
            </w:rPr>
            <w:t xml:space="preserve">page </w:t>
          </w:r>
          <w:r w:rsidRPr="007F2FDC">
            <w:rPr>
              <w:caps/>
              <w:color w:val="808080" w:themeColor="background1" w:themeShade="80"/>
              <w:sz w:val="16"/>
              <w:szCs w:val="16"/>
            </w:rPr>
            <w:fldChar w:fldCharType="begin"/>
          </w:r>
          <w:r w:rsidRPr="007F2FDC">
            <w:rPr>
              <w:caps/>
              <w:color w:val="808080" w:themeColor="background1" w:themeShade="80"/>
              <w:sz w:val="16"/>
              <w:szCs w:val="16"/>
            </w:rPr>
            <w:instrText xml:space="preserve"> PAGE   \* MERGEFORMAT </w:instrText>
          </w:r>
          <w:r w:rsidRPr="007F2FDC">
            <w:rPr>
              <w:caps/>
              <w:color w:val="808080" w:themeColor="background1" w:themeShade="80"/>
              <w:sz w:val="16"/>
              <w:szCs w:val="16"/>
            </w:rPr>
            <w:fldChar w:fldCharType="separate"/>
          </w:r>
          <w:r w:rsidRPr="007F2FDC">
            <w:rPr>
              <w:caps/>
              <w:noProof/>
              <w:color w:val="808080" w:themeColor="background1" w:themeShade="80"/>
              <w:sz w:val="16"/>
              <w:szCs w:val="16"/>
            </w:rPr>
            <w:t>2</w:t>
          </w:r>
          <w:r w:rsidRPr="007F2FDC">
            <w:rPr>
              <w:caps/>
              <w:noProof/>
              <w:color w:val="808080" w:themeColor="background1" w:themeShade="80"/>
              <w:sz w:val="16"/>
              <w:szCs w:val="16"/>
            </w:rPr>
            <w:fldChar w:fldCharType="end"/>
          </w:r>
        </w:p>
      </w:tc>
    </w:tr>
  </w:tbl>
  <w:p w14:paraId="58F59F5F"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AF3F4" w14:textId="77777777" w:rsidR="00183EF3" w:rsidRDefault="00183EF3" w:rsidP="0011662E">
      <w:pPr>
        <w:spacing w:after="0" w:line="240" w:lineRule="auto"/>
      </w:pPr>
      <w:r>
        <w:separator/>
      </w:r>
    </w:p>
  </w:footnote>
  <w:footnote w:type="continuationSeparator" w:id="0">
    <w:p w14:paraId="7BD17DC7" w14:textId="77777777" w:rsidR="00183EF3" w:rsidRDefault="00183EF3"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515_"/>
      </v:shape>
    </w:pict>
  </w:numPicBullet>
  <w:abstractNum w:abstractNumId="0" w15:restartNumberingAfterBreak="0">
    <w:nsid w:val="00B00B69"/>
    <w:multiLevelType w:val="hybridMultilevel"/>
    <w:tmpl w:val="71402EE0"/>
    <w:lvl w:ilvl="0" w:tplc="94C854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B727A"/>
    <w:multiLevelType w:val="hybridMultilevel"/>
    <w:tmpl w:val="27D22182"/>
    <w:lvl w:ilvl="0" w:tplc="38D245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A2731"/>
    <w:multiLevelType w:val="hybridMultilevel"/>
    <w:tmpl w:val="82C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A73BF"/>
    <w:multiLevelType w:val="hybridMultilevel"/>
    <w:tmpl w:val="6B4CE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E1311"/>
    <w:multiLevelType w:val="hybridMultilevel"/>
    <w:tmpl w:val="6B7A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5A0"/>
    <w:multiLevelType w:val="hybridMultilevel"/>
    <w:tmpl w:val="F65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2761C"/>
    <w:multiLevelType w:val="hybridMultilevel"/>
    <w:tmpl w:val="C9DC8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813F3"/>
    <w:multiLevelType w:val="hybridMultilevel"/>
    <w:tmpl w:val="044AE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F404CB"/>
    <w:multiLevelType w:val="hybridMultilevel"/>
    <w:tmpl w:val="0F907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54130"/>
    <w:multiLevelType w:val="hybridMultilevel"/>
    <w:tmpl w:val="78CA5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1"/>
  </w:num>
  <w:num w:numId="5">
    <w:abstractNumId w:val="14"/>
  </w:num>
  <w:num w:numId="6">
    <w:abstractNumId w:val="8"/>
  </w:num>
  <w:num w:numId="7">
    <w:abstractNumId w:val="6"/>
  </w:num>
  <w:num w:numId="8">
    <w:abstractNumId w:val="2"/>
  </w:num>
  <w:num w:numId="9">
    <w:abstractNumId w:val="0"/>
  </w:num>
  <w:num w:numId="10">
    <w:abstractNumId w:val="7"/>
  </w:num>
  <w:num w:numId="11">
    <w:abstractNumId w:val="16"/>
  </w:num>
  <w:num w:numId="12">
    <w:abstractNumId w:val="12"/>
  </w:num>
  <w:num w:numId="13">
    <w:abstractNumId w:val="10"/>
  </w:num>
  <w:num w:numId="14">
    <w:abstractNumId w:val="5"/>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13AF8"/>
    <w:rsid w:val="0003381E"/>
    <w:rsid w:val="00051B6C"/>
    <w:rsid w:val="00056970"/>
    <w:rsid w:val="00060375"/>
    <w:rsid w:val="0007795C"/>
    <w:rsid w:val="00086727"/>
    <w:rsid w:val="00091A51"/>
    <w:rsid w:val="00096EE9"/>
    <w:rsid w:val="0011662E"/>
    <w:rsid w:val="001216FE"/>
    <w:rsid w:val="00123DDE"/>
    <w:rsid w:val="00132244"/>
    <w:rsid w:val="00152329"/>
    <w:rsid w:val="00155B5C"/>
    <w:rsid w:val="00157F1A"/>
    <w:rsid w:val="00163788"/>
    <w:rsid w:val="00183EF3"/>
    <w:rsid w:val="001A05E8"/>
    <w:rsid w:val="001F7405"/>
    <w:rsid w:val="002034B0"/>
    <w:rsid w:val="002133E7"/>
    <w:rsid w:val="002168B9"/>
    <w:rsid w:val="002250D2"/>
    <w:rsid w:val="00261164"/>
    <w:rsid w:val="00267FC0"/>
    <w:rsid w:val="002C7E04"/>
    <w:rsid w:val="002F251C"/>
    <w:rsid w:val="00361447"/>
    <w:rsid w:val="003719C1"/>
    <w:rsid w:val="0037247C"/>
    <w:rsid w:val="003A563B"/>
    <w:rsid w:val="003E0875"/>
    <w:rsid w:val="003E1A18"/>
    <w:rsid w:val="003F04AD"/>
    <w:rsid w:val="00432801"/>
    <w:rsid w:val="00432E69"/>
    <w:rsid w:val="00441559"/>
    <w:rsid w:val="00471914"/>
    <w:rsid w:val="004C076B"/>
    <w:rsid w:val="004F3D3C"/>
    <w:rsid w:val="00531119"/>
    <w:rsid w:val="00571942"/>
    <w:rsid w:val="005914E1"/>
    <w:rsid w:val="005A2635"/>
    <w:rsid w:val="005A42F3"/>
    <w:rsid w:val="005C0D79"/>
    <w:rsid w:val="005D06D5"/>
    <w:rsid w:val="005D67C3"/>
    <w:rsid w:val="005E1699"/>
    <w:rsid w:val="005F19AA"/>
    <w:rsid w:val="0061675E"/>
    <w:rsid w:val="00643A38"/>
    <w:rsid w:val="00656B73"/>
    <w:rsid w:val="00677D95"/>
    <w:rsid w:val="006878C2"/>
    <w:rsid w:val="006A556D"/>
    <w:rsid w:val="006A5A1D"/>
    <w:rsid w:val="006D21D7"/>
    <w:rsid w:val="006E1086"/>
    <w:rsid w:val="006F25D8"/>
    <w:rsid w:val="00753062"/>
    <w:rsid w:val="00754DC3"/>
    <w:rsid w:val="00763B7D"/>
    <w:rsid w:val="00783A70"/>
    <w:rsid w:val="00797A6F"/>
    <w:rsid w:val="007C4D97"/>
    <w:rsid w:val="007D0604"/>
    <w:rsid w:val="007D3D82"/>
    <w:rsid w:val="007E1F4F"/>
    <w:rsid w:val="007F2FDC"/>
    <w:rsid w:val="007F437C"/>
    <w:rsid w:val="0082255F"/>
    <w:rsid w:val="00826385"/>
    <w:rsid w:val="00834AEA"/>
    <w:rsid w:val="008459FC"/>
    <w:rsid w:val="00861B43"/>
    <w:rsid w:val="00902B66"/>
    <w:rsid w:val="00932D36"/>
    <w:rsid w:val="00942635"/>
    <w:rsid w:val="009A26FF"/>
    <w:rsid w:val="009D3FFC"/>
    <w:rsid w:val="009E1EA6"/>
    <w:rsid w:val="00A0358B"/>
    <w:rsid w:val="00A1791D"/>
    <w:rsid w:val="00A307F9"/>
    <w:rsid w:val="00A3392E"/>
    <w:rsid w:val="00A33AE4"/>
    <w:rsid w:val="00A42888"/>
    <w:rsid w:val="00A7345C"/>
    <w:rsid w:val="00A81284"/>
    <w:rsid w:val="00A817D1"/>
    <w:rsid w:val="00A82D24"/>
    <w:rsid w:val="00A85564"/>
    <w:rsid w:val="00AA004C"/>
    <w:rsid w:val="00AD4450"/>
    <w:rsid w:val="00AE0746"/>
    <w:rsid w:val="00AF3320"/>
    <w:rsid w:val="00B01464"/>
    <w:rsid w:val="00B03C3D"/>
    <w:rsid w:val="00B06689"/>
    <w:rsid w:val="00B104CE"/>
    <w:rsid w:val="00B1563B"/>
    <w:rsid w:val="00B23A32"/>
    <w:rsid w:val="00B5592F"/>
    <w:rsid w:val="00B62E3A"/>
    <w:rsid w:val="00B63154"/>
    <w:rsid w:val="00B93283"/>
    <w:rsid w:val="00BB556D"/>
    <w:rsid w:val="00BC3220"/>
    <w:rsid w:val="00BC5C8E"/>
    <w:rsid w:val="00BC6552"/>
    <w:rsid w:val="00BF0BDD"/>
    <w:rsid w:val="00C1442B"/>
    <w:rsid w:val="00C35A52"/>
    <w:rsid w:val="00C65C99"/>
    <w:rsid w:val="00C7016D"/>
    <w:rsid w:val="00C730F4"/>
    <w:rsid w:val="00C96068"/>
    <w:rsid w:val="00CA39D6"/>
    <w:rsid w:val="00CC76FB"/>
    <w:rsid w:val="00CE7793"/>
    <w:rsid w:val="00CF3430"/>
    <w:rsid w:val="00D10998"/>
    <w:rsid w:val="00D10AFA"/>
    <w:rsid w:val="00D32A70"/>
    <w:rsid w:val="00D33181"/>
    <w:rsid w:val="00D551F0"/>
    <w:rsid w:val="00D56F78"/>
    <w:rsid w:val="00D657B4"/>
    <w:rsid w:val="00D81FCD"/>
    <w:rsid w:val="00D868B6"/>
    <w:rsid w:val="00D869EB"/>
    <w:rsid w:val="00DA5A97"/>
    <w:rsid w:val="00DA6C1D"/>
    <w:rsid w:val="00E2291D"/>
    <w:rsid w:val="00E86A6B"/>
    <w:rsid w:val="00E94F95"/>
    <w:rsid w:val="00F25861"/>
    <w:rsid w:val="00F273CC"/>
    <w:rsid w:val="00F36059"/>
    <w:rsid w:val="00F574D0"/>
    <w:rsid w:val="00F738E1"/>
    <w:rsid w:val="00F7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E90FD"/>
  <w15:docId w15:val="{F79873AE-6828-43B6-ABAA-605B525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BF0BDD"/>
    <w:rPr>
      <w:color w:val="0000FF" w:themeColor="hyperlink"/>
      <w:u w:val="single"/>
    </w:rPr>
  </w:style>
  <w:style w:type="character" w:styleId="UnresolvedMention">
    <w:name w:val="Unresolved Mention"/>
    <w:basedOn w:val="DefaultParagraphFont"/>
    <w:uiPriority w:val="99"/>
    <w:semiHidden/>
    <w:unhideWhenUsed/>
    <w:rsid w:val="00BF0BDD"/>
    <w:rPr>
      <w:color w:val="605E5C"/>
      <w:shd w:val="clear" w:color="auto" w:fill="E1DFDD"/>
    </w:rPr>
  </w:style>
  <w:style w:type="character" w:styleId="FollowedHyperlink">
    <w:name w:val="FollowedHyperlink"/>
    <w:basedOn w:val="DefaultParagraphFont"/>
    <w:uiPriority w:val="99"/>
    <w:semiHidden/>
    <w:unhideWhenUsed/>
    <w:rsid w:val="00BF0BDD"/>
    <w:rPr>
      <w:color w:val="800080" w:themeColor="followedHyperlink"/>
      <w:u w:val="single"/>
    </w:rPr>
  </w:style>
  <w:style w:type="table" w:styleId="GridTable4-Accent5">
    <w:name w:val="Grid Table 4 Accent 5"/>
    <w:basedOn w:val="TableNormal"/>
    <w:uiPriority w:val="49"/>
    <w:rsid w:val="00AD445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AD4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1">
    <w:name w:val="Grid Table 1 Light Accent 1"/>
    <w:basedOn w:val="TableNormal"/>
    <w:uiPriority w:val="46"/>
    <w:rsid w:val="00AD445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5Dark-Accent5">
    <w:name w:val="List Table 5 Dark Accent 5"/>
    <w:basedOn w:val="TableNormal"/>
    <w:uiPriority w:val="50"/>
    <w:rsid w:val="00AD445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5">
    <w:name w:val="Grid Table 5 Dark Accent 5"/>
    <w:basedOn w:val="TableNormal"/>
    <w:uiPriority w:val="50"/>
    <w:rsid w:val="00AD44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62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50">
      <w:bodyDiv w:val="1"/>
      <w:marLeft w:val="0"/>
      <w:marRight w:val="0"/>
      <w:marTop w:val="0"/>
      <w:marBottom w:val="0"/>
      <w:divBdr>
        <w:top w:val="none" w:sz="0" w:space="0" w:color="auto"/>
        <w:left w:val="none" w:sz="0" w:space="0" w:color="auto"/>
        <w:bottom w:val="none" w:sz="0" w:space="0" w:color="auto"/>
        <w:right w:val="none" w:sz="0" w:space="0" w:color="auto"/>
      </w:divBdr>
    </w:div>
    <w:div w:id="1129862252">
      <w:bodyDiv w:val="1"/>
      <w:marLeft w:val="0"/>
      <w:marRight w:val="0"/>
      <w:marTop w:val="0"/>
      <w:marBottom w:val="0"/>
      <w:divBdr>
        <w:top w:val="none" w:sz="0" w:space="0" w:color="auto"/>
        <w:left w:val="none" w:sz="0" w:space="0" w:color="auto"/>
        <w:bottom w:val="none" w:sz="0" w:space="0" w:color="auto"/>
        <w:right w:val="none" w:sz="0" w:space="0" w:color="auto"/>
      </w:divBdr>
    </w:div>
    <w:div w:id="1506627601">
      <w:bodyDiv w:val="1"/>
      <w:marLeft w:val="0"/>
      <w:marRight w:val="0"/>
      <w:marTop w:val="0"/>
      <w:marBottom w:val="0"/>
      <w:divBdr>
        <w:top w:val="none" w:sz="0" w:space="0" w:color="auto"/>
        <w:left w:val="none" w:sz="0" w:space="0" w:color="auto"/>
        <w:bottom w:val="none" w:sz="0" w:space="0" w:color="auto"/>
        <w:right w:val="none" w:sz="0" w:space="0" w:color="auto"/>
      </w:divBdr>
      <w:divsChild>
        <w:div w:id="1321078603">
          <w:marLeft w:val="0"/>
          <w:marRight w:val="0"/>
          <w:marTop w:val="0"/>
          <w:marBottom w:val="0"/>
          <w:divBdr>
            <w:top w:val="none" w:sz="0" w:space="0" w:color="auto"/>
            <w:left w:val="none" w:sz="0" w:space="0" w:color="auto"/>
            <w:bottom w:val="none" w:sz="0" w:space="0" w:color="auto"/>
            <w:right w:val="none" w:sz="0" w:space="0" w:color="auto"/>
          </w:divBdr>
          <w:divsChild>
            <w:div w:id="1711682709">
              <w:marLeft w:val="0"/>
              <w:marRight w:val="0"/>
              <w:marTop w:val="0"/>
              <w:marBottom w:val="0"/>
              <w:divBdr>
                <w:top w:val="none" w:sz="0" w:space="0" w:color="auto"/>
                <w:left w:val="none" w:sz="0" w:space="0" w:color="auto"/>
                <w:bottom w:val="none" w:sz="0" w:space="0" w:color="auto"/>
                <w:right w:val="none" w:sz="0" w:space="0" w:color="auto"/>
              </w:divBdr>
              <w:divsChild>
                <w:div w:id="1588925084">
                  <w:marLeft w:val="0"/>
                  <w:marRight w:val="0"/>
                  <w:marTop w:val="0"/>
                  <w:marBottom w:val="0"/>
                  <w:divBdr>
                    <w:top w:val="none" w:sz="0" w:space="0" w:color="auto"/>
                    <w:left w:val="none" w:sz="0" w:space="0" w:color="auto"/>
                    <w:bottom w:val="none" w:sz="0" w:space="0" w:color="auto"/>
                    <w:right w:val="none" w:sz="0" w:space="0" w:color="auto"/>
                  </w:divBdr>
                  <w:divsChild>
                    <w:div w:id="1827280386">
                      <w:marLeft w:val="0"/>
                      <w:marRight w:val="0"/>
                      <w:marTop w:val="0"/>
                      <w:marBottom w:val="0"/>
                      <w:divBdr>
                        <w:top w:val="none" w:sz="0" w:space="0" w:color="auto"/>
                        <w:left w:val="none" w:sz="0" w:space="0" w:color="auto"/>
                        <w:bottom w:val="none" w:sz="0" w:space="0" w:color="auto"/>
                        <w:right w:val="none" w:sz="0" w:space="0" w:color="auto"/>
                      </w:divBdr>
                      <w:divsChild>
                        <w:div w:id="1244416084">
                          <w:marLeft w:val="0"/>
                          <w:marRight w:val="0"/>
                          <w:marTop w:val="0"/>
                          <w:marBottom w:val="0"/>
                          <w:divBdr>
                            <w:top w:val="none" w:sz="0" w:space="0" w:color="auto"/>
                            <w:left w:val="none" w:sz="0" w:space="0" w:color="auto"/>
                            <w:bottom w:val="none" w:sz="0" w:space="0" w:color="auto"/>
                            <w:right w:val="none" w:sz="0" w:space="0" w:color="auto"/>
                          </w:divBdr>
                          <w:divsChild>
                            <w:div w:id="1114792108">
                              <w:marLeft w:val="0"/>
                              <w:marRight w:val="0"/>
                              <w:marTop w:val="0"/>
                              <w:marBottom w:val="0"/>
                              <w:divBdr>
                                <w:top w:val="none" w:sz="0" w:space="0" w:color="auto"/>
                                <w:left w:val="none" w:sz="0" w:space="0" w:color="auto"/>
                                <w:bottom w:val="none" w:sz="0" w:space="0" w:color="auto"/>
                                <w:right w:val="none" w:sz="0" w:space="0" w:color="auto"/>
                              </w:divBdr>
                              <w:divsChild>
                                <w:div w:id="1683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44636">
          <w:marLeft w:val="0"/>
          <w:marRight w:val="0"/>
          <w:marTop w:val="0"/>
          <w:marBottom w:val="0"/>
          <w:divBdr>
            <w:top w:val="none" w:sz="0" w:space="0" w:color="auto"/>
            <w:left w:val="none" w:sz="0" w:space="0" w:color="auto"/>
            <w:bottom w:val="none" w:sz="0" w:space="0" w:color="auto"/>
            <w:right w:val="none" w:sz="0" w:space="0" w:color="auto"/>
          </w:divBdr>
          <w:divsChild>
            <w:div w:id="1648632733">
              <w:marLeft w:val="0"/>
              <w:marRight w:val="0"/>
              <w:marTop w:val="0"/>
              <w:marBottom w:val="0"/>
              <w:divBdr>
                <w:top w:val="none" w:sz="0" w:space="0" w:color="auto"/>
                <w:left w:val="none" w:sz="0" w:space="0" w:color="auto"/>
                <w:bottom w:val="none" w:sz="0" w:space="0" w:color="auto"/>
                <w:right w:val="none" w:sz="0" w:space="0" w:color="auto"/>
              </w:divBdr>
              <w:divsChild>
                <w:div w:id="1164475550">
                  <w:marLeft w:val="0"/>
                  <w:marRight w:val="0"/>
                  <w:marTop w:val="0"/>
                  <w:marBottom w:val="0"/>
                  <w:divBdr>
                    <w:top w:val="none" w:sz="0" w:space="0" w:color="auto"/>
                    <w:left w:val="none" w:sz="0" w:space="0" w:color="auto"/>
                    <w:bottom w:val="none" w:sz="0" w:space="0" w:color="auto"/>
                    <w:right w:val="none" w:sz="0" w:space="0" w:color="auto"/>
                  </w:divBdr>
                  <w:divsChild>
                    <w:div w:id="2083329774">
                      <w:marLeft w:val="0"/>
                      <w:marRight w:val="0"/>
                      <w:marTop w:val="0"/>
                      <w:marBottom w:val="0"/>
                      <w:divBdr>
                        <w:top w:val="none" w:sz="0" w:space="0" w:color="auto"/>
                        <w:left w:val="none" w:sz="0" w:space="0" w:color="auto"/>
                        <w:bottom w:val="none" w:sz="0" w:space="0" w:color="auto"/>
                        <w:right w:val="none" w:sz="0" w:space="0" w:color="auto"/>
                      </w:divBdr>
                      <w:divsChild>
                        <w:div w:id="1822842753">
                          <w:marLeft w:val="0"/>
                          <w:marRight w:val="0"/>
                          <w:marTop w:val="0"/>
                          <w:marBottom w:val="0"/>
                          <w:divBdr>
                            <w:top w:val="none" w:sz="0" w:space="0" w:color="auto"/>
                            <w:left w:val="none" w:sz="0" w:space="0" w:color="auto"/>
                            <w:bottom w:val="none" w:sz="0" w:space="0" w:color="auto"/>
                            <w:right w:val="none" w:sz="0" w:space="0" w:color="auto"/>
                          </w:divBdr>
                          <w:divsChild>
                            <w:div w:id="332682499">
                              <w:marLeft w:val="0"/>
                              <w:marRight w:val="0"/>
                              <w:marTop w:val="0"/>
                              <w:marBottom w:val="0"/>
                              <w:divBdr>
                                <w:top w:val="none" w:sz="0" w:space="0" w:color="auto"/>
                                <w:left w:val="none" w:sz="0" w:space="0" w:color="auto"/>
                                <w:bottom w:val="none" w:sz="0" w:space="0" w:color="auto"/>
                                <w:right w:val="none" w:sz="0" w:space="0" w:color="auto"/>
                              </w:divBdr>
                              <w:divsChild>
                                <w:div w:id="2040156663">
                                  <w:marLeft w:val="0"/>
                                  <w:marRight w:val="0"/>
                                  <w:marTop w:val="0"/>
                                  <w:marBottom w:val="0"/>
                                  <w:divBdr>
                                    <w:top w:val="none" w:sz="0" w:space="0" w:color="auto"/>
                                    <w:left w:val="none" w:sz="0" w:space="0" w:color="auto"/>
                                    <w:bottom w:val="none" w:sz="0" w:space="0" w:color="auto"/>
                                    <w:right w:val="none" w:sz="0" w:space="0" w:color="auto"/>
                                  </w:divBdr>
                                  <w:divsChild>
                                    <w:div w:id="2041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1851">
                              <w:marLeft w:val="0"/>
                              <w:marRight w:val="0"/>
                              <w:marTop w:val="0"/>
                              <w:marBottom w:val="0"/>
                              <w:divBdr>
                                <w:top w:val="none" w:sz="0" w:space="0" w:color="auto"/>
                                <w:left w:val="none" w:sz="0" w:space="0" w:color="auto"/>
                                <w:bottom w:val="none" w:sz="0" w:space="0" w:color="auto"/>
                                <w:right w:val="none" w:sz="0" w:space="0" w:color="auto"/>
                              </w:divBdr>
                              <w:divsChild>
                                <w:div w:id="1211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1112751698">
          <w:marLeft w:val="0"/>
          <w:marRight w:val="0"/>
          <w:marTop w:val="0"/>
          <w:marBottom w:val="240"/>
          <w:divBdr>
            <w:top w:val="none" w:sz="0" w:space="0" w:color="auto"/>
            <w:left w:val="none" w:sz="0" w:space="0" w:color="auto"/>
            <w:bottom w:val="none" w:sz="0" w:space="0" w:color="auto"/>
            <w:right w:val="none" w:sz="0" w:space="0" w:color="auto"/>
          </w:divBdr>
          <w:divsChild>
            <w:div w:id="1310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985">
      <w:bodyDiv w:val="1"/>
      <w:marLeft w:val="0"/>
      <w:marRight w:val="0"/>
      <w:marTop w:val="0"/>
      <w:marBottom w:val="0"/>
      <w:divBdr>
        <w:top w:val="none" w:sz="0" w:space="0" w:color="auto"/>
        <w:left w:val="none" w:sz="0" w:space="0" w:color="auto"/>
        <w:bottom w:val="none" w:sz="0" w:space="0" w:color="auto"/>
        <w:right w:val="none" w:sz="0" w:space="0" w:color="auto"/>
      </w:divBdr>
    </w:div>
    <w:div w:id="1978951942">
      <w:bodyDiv w:val="1"/>
      <w:marLeft w:val="0"/>
      <w:marRight w:val="0"/>
      <w:marTop w:val="0"/>
      <w:marBottom w:val="0"/>
      <w:divBdr>
        <w:top w:val="none" w:sz="0" w:space="0" w:color="auto"/>
        <w:left w:val="none" w:sz="0" w:space="0" w:color="auto"/>
        <w:bottom w:val="none" w:sz="0" w:space="0" w:color="auto"/>
        <w:right w:val="none" w:sz="0" w:space="0" w:color="auto"/>
      </w:divBdr>
      <w:divsChild>
        <w:div w:id="625431107">
          <w:marLeft w:val="0"/>
          <w:marRight w:val="0"/>
          <w:marTop w:val="0"/>
          <w:marBottom w:val="0"/>
          <w:divBdr>
            <w:top w:val="none" w:sz="0" w:space="0" w:color="auto"/>
            <w:left w:val="none" w:sz="0" w:space="0" w:color="auto"/>
            <w:bottom w:val="none" w:sz="0" w:space="0" w:color="auto"/>
            <w:right w:val="none" w:sz="0" w:space="0" w:color="auto"/>
          </w:divBdr>
          <w:divsChild>
            <w:div w:id="1035959432">
              <w:marLeft w:val="0"/>
              <w:marRight w:val="0"/>
              <w:marTop w:val="0"/>
              <w:marBottom w:val="0"/>
              <w:divBdr>
                <w:top w:val="none" w:sz="0" w:space="0" w:color="auto"/>
                <w:left w:val="none" w:sz="0" w:space="0" w:color="auto"/>
                <w:bottom w:val="none" w:sz="0" w:space="0" w:color="auto"/>
                <w:right w:val="none" w:sz="0" w:space="0" w:color="auto"/>
              </w:divBdr>
              <w:divsChild>
                <w:div w:id="10412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431">
      <w:bodyDiv w:val="1"/>
      <w:marLeft w:val="0"/>
      <w:marRight w:val="0"/>
      <w:marTop w:val="0"/>
      <w:marBottom w:val="0"/>
      <w:divBdr>
        <w:top w:val="none" w:sz="0" w:space="0" w:color="auto"/>
        <w:left w:val="none" w:sz="0" w:space="0" w:color="auto"/>
        <w:bottom w:val="none" w:sz="0" w:space="0" w:color="auto"/>
        <w:right w:val="none" w:sz="0" w:space="0" w:color="auto"/>
      </w:divBdr>
      <w:divsChild>
        <w:div w:id="1008291812">
          <w:marLeft w:val="0"/>
          <w:marRight w:val="0"/>
          <w:marTop w:val="0"/>
          <w:marBottom w:val="0"/>
          <w:divBdr>
            <w:top w:val="none" w:sz="0" w:space="0" w:color="auto"/>
            <w:left w:val="none" w:sz="0" w:space="0" w:color="auto"/>
            <w:bottom w:val="none" w:sz="0" w:space="0" w:color="auto"/>
            <w:right w:val="none" w:sz="0" w:space="0" w:color="auto"/>
          </w:divBdr>
          <w:divsChild>
            <w:div w:id="305162339">
              <w:marLeft w:val="0"/>
              <w:marRight w:val="0"/>
              <w:marTop w:val="0"/>
              <w:marBottom w:val="0"/>
              <w:divBdr>
                <w:top w:val="none" w:sz="0" w:space="0" w:color="auto"/>
                <w:left w:val="none" w:sz="0" w:space="0" w:color="auto"/>
                <w:bottom w:val="none" w:sz="0" w:space="0" w:color="auto"/>
                <w:right w:val="none" w:sz="0" w:space="0" w:color="auto"/>
              </w:divBdr>
              <w:divsChild>
                <w:div w:id="1348948194">
                  <w:marLeft w:val="0"/>
                  <w:marRight w:val="0"/>
                  <w:marTop w:val="0"/>
                  <w:marBottom w:val="0"/>
                  <w:divBdr>
                    <w:top w:val="none" w:sz="0" w:space="0" w:color="auto"/>
                    <w:left w:val="none" w:sz="0" w:space="0" w:color="auto"/>
                    <w:bottom w:val="none" w:sz="0" w:space="0" w:color="auto"/>
                    <w:right w:val="none" w:sz="0" w:space="0" w:color="auto"/>
                  </w:divBdr>
                  <w:divsChild>
                    <w:div w:id="19779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trade-agreements/free-trade-agreement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205A3607704D2E9CD148995B25BF52"/>
        <w:category>
          <w:name w:val="General"/>
          <w:gallery w:val="placeholder"/>
        </w:category>
        <w:types>
          <w:type w:val="bbPlcHdr"/>
        </w:types>
        <w:behaviors>
          <w:behavior w:val="content"/>
        </w:behaviors>
        <w:guid w:val="{C37FC93A-6894-48C3-8CBE-F91B882E7F21}"/>
      </w:docPartPr>
      <w:docPartBody>
        <w:p w:rsidR="002F5146" w:rsidRDefault="005463E2" w:rsidP="005463E2">
          <w:pPr>
            <w:pStyle w:val="9E205A3607704D2E9CD148995B25BF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E2"/>
    <w:rsid w:val="0000347A"/>
    <w:rsid w:val="000539B4"/>
    <w:rsid w:val="00091AA6"/>
    <w:rsid w:val="001273DA"/>
    <w:rsid w:val="00167752"/>
    <w:rsid w:val="002F5146"/>
    <w:rsid w:val="003B3692"/>
    <w:rsid w:val="005463E2"/>
    <w:rsid w:val="00686868"/>
    <w:rsid w:val="00694E72"/>
    <w:rsid w:val="0070639C"/>
    <w:rsid w:val="00820349"/>
    <w:rsid w:val="00A374B8"/>
    <w:rsid w:val="00CA1E75"/>
    <w:rsid w:val="00CD75B0"/>
    <w:rsid w:val="00E2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3E2"/>
    <w:rPr>
      <w:color w:val="808080"/>
    </w:rPr>
  </w:style>
  <w:style w:type="paragraph" w:customStyle="1" w:styleId="9E205A3607704D2E9CD148995B25BF52">
    <w:name w:val="9E205A3607704D2E9CD148995B25BF52"/>
    <w:rsid w:val="00546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SUPPLY CHAINS AND REGULATIONS UNIT</dc:creator>
  <cp:keywords/>
  <cp:lastModifiedBy>ARIANE KAVASS</cp:lastModifiedBy>
  <cp:revision>5</cp:revision>
  <cp:lastPrinted>2019-10-20T10:35:00Z</cp:lastPrinted>
  <dcterms:created xsi:type="dcterms:W3CDTF">2019-10-19T12:00:00Z</dcterms:created>
  <dcterms:modified xsi:type="dcterms:W3CDTF">2020-08-08T12:55:00Z</dcterms:modified>
</cp:coreProperties>
</file>