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C85" w14:textId="60D4BD69" w:rsidR="00E47798" w:rsidRDefault="00703C3D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5C7347A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5475" cy="5238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DB458" w14:textId="30E3BC10" w:rsidR="00F750B7" w:rsidRPr="00703C3D" w:rsidRDefault="00703C3D" w:rsidP="00703C3D">
                            <w:pPr>
                              <w:spacing w:before="120" w:after="120"/>
                              <w:jc w:val="right"/>
                              <w:rPr>
                                <w:color w:val="655A45" w:themeColor="accent5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655A45" w:themeColor="accent5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Activity: What Type of Warehouse Do I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0;width:449.2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pNfwIAAHwFAAAOAAAAZHJzL2Uyb0RvYy54bWysVG1v0zAQ/o7Ef7D8nSUNDR3R0ml0DCGN&#10;F7HxA1zHbiIcX7DdJt2v52ynWTcqkBBforN999xzz13u4nJoFdkJYxvQJZ2dpZQIzaFq9Kak3+9v&#10;Xp1TYh3TFVOgRUn3wtLL5csXF31XiAxqUJUwBEG0LfqupLVzXZEklteiZfYMOqHxUYJpmcOj2SSV&#10;YT2ityrJ0vRN0oOpOgNcWIu31/GRLgO+lIK7L1Ja4YgqKXJz4WvCd+2/yfKCFRvDurrhIw32Dyxa&#10;1mhMOkFdM8fI1jS/QbUNN2BBujMObQJSNlyEGrCaWfqsmruadSLUguLYbpLJ/j9Y/nn31ZCmKmk2&#10;W1CiWYtNuheDI+9gIJnXp+9sgW53HTq6Aa+xz6FW290C/2GJhlXN9EZcGQN9LViF/GY+MjkKjTjW&#10;g6z7T1BhGrZ1EIAGaVovHspBEB37tJ9646lwvMwXaT5f5JRwfMuz1+do+xSsOER3xroPAlrijZIa&#10;7H1AZ7tb66LrwcUns6Ca6qZRKhz8vImVMmTHcFLWm8j/mZfSpEehznPM/TcIxrnQLvqpbYsVR+hF&#10;nqZh7JB5mHKfNdTxhJCX8b2ukDYrHGtUtDFG6VFXL+Uoqtsr4R2V/iYkNhPlyiLBp2Udc7I1q0Sk&#10;5BmdphQAPbJEnSbssfunsaPQo78PFeEvnILTPxGLwVNEyAzaTcFto8GcAlDu0DAZ/Q8iRWn8HLph&#10;PSC+N9dQ7XEODcR1gOsLjRrMAyU9roKS2p9bZgQl6qPGWX47m8/97giHeb7I8GCOX9bHL0xzhCqp&#10;oySaKxf2jS9GwxXOvGzCOD4yGcniLx4GYVxHfoccn4PX49Jc/gIAAP//AwBQSwMEFAAGAAgAAAAh&#10;APDqHpfbAAAABAEAAA8AAABkcnMvZG93bnJldi54bWxMj0FLw0AQhe9C/8MyBW92Y6ElptkUUTwI&#10;UjRVsLdpdpqEZmdDdtvGf+/oRS/DG97w3jf5enSdOtMQWs8GbmcJKOLK25ZrA+/bp5sUVIjIFjvP&#10;ZOCLAqyLyVWOmfUXfqNzGWslIRwyNNDE2Gdah6ohh2Hme2LxDn5wGGUdam0HvEi46/Q8SZbaYcvS&#10;0GBPDw1Vx/LkDLy6zefu2T+6l235ga1PcUNLNOZ6Ot6vQEUa498x/OALOhTCtPcntkF1BuSR+DvF&#10;S+/SBai9iPkCdJHr//DFNwAAAP//AwBQSwECLQAUAAYACAAAACEAtoM4kv4AAADhAQAAEwAAAAAA&#10;AAAAAAAAAAAAAAAAW0NvbnRlbnRfVHlwZXNdLnhtbFBLAQItABQABgAIAAAAIQA4/SH/1gAAAJQB&#10;AAALAAAAAAAAAAAAAAAAAC8BAABfcmVscy8ucmVsc1BLAQItABQABgAIAAAAIQBaRbpNfwIAAHwF&#10;AAAOAAAAAAAAAAAAAAAAAC4CAABkcnMvZTJvRG9jLnhtbFBLAQItABQABgAIAAAAIQDw6h6X2wAA&#10;AAQBAAAPAAAAAAAAAAAAAAAAANkEAABkcnMvZG93bnJldi54bWxQSwUGAAAAAAQABADzAAAA4QUA&#10;AAAA&#10;" fillcolor="white [3212]" strokecolor="#655a45 [2408]" strokeweight="2.25pt">
                <v:textbox>
                  <w:txbxContent>
                    <w:p w14:paraId="733DB458" w14:textId="30E3BC10" w:rsidR="00F750B7" w:rsidRPr="00703C3D" w:rsidRDefault="00703C3D" w:rsidP="00703C3D">
                      <w:pPr>
                        <w:spacing w:before="120" w:after="120"/>
                        <w:jc w:val="right"/>
                        <w:rPr>
                          <w:color w:val="655A45" w:themeColor="accent5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655A45" w:themeColor="accent5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Activity: What Type of Warehouse Do I Need?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D9EA9E" wp14:editId="7F03AC93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A picture containing LEGO, toy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328306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E257" w14:textId="275BA2B8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5DCDE1EA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 ________________ Class ___</w:t>
      </w:r>
    </w:p>
    <w:p w14:paraId="08224FCA" w14:textId="77777777" w:rsidR="00EB5596" w:rsidRDefault="00EB5596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5366527B" w14:textId="17771632" w:rsidR="00703C3D" w:rsidRDefault="00703C3D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4E9B4A04" w14:textId="05EF2860" w:rsidR="00703C3D" w:rsidRPr="009C41F3" w:rsidRDefault="00703C3D" w:rsidP="00463530">
      <w:pPr>
        <w:spacing w:after="0"/>
        <w:rPr>
          <w:rFonts w:ascii="Arial" w:hAnsi="Arial" w:cs="Arial"/>
          <w:bCs/>
          <w:color w:val="655A45" w:themeColor="accent5" w:themeShade="BF"/>
          <w:sz w:val="24"/>
        </w:rPr>
      </w:pPr>
      <w:r w:rsidRPr="009C41F3">
        <w:rPr>
          <w:rFonts w:ascii="Arial" w:hAnsi="Arial" w:cs="Arial"/>
          <w:b/>
          <w:i/>
          <w:iCs/>
          <w:color w:val="655A45" w:themeColor="accent5" w:themeShade="BF"/>
          <w:sz w:val="24"/>
        </w:rPr>
        <w:t>DIRECTIONS</w:t>
      </w:r>
      <w:r w:rsidRPr="009C41F3">
        <w:rPr>
          <w:rFonts w:ascii="Arial" w:hAnsi="Arial" w:cs="Arial"/>
          <w:bCs/>
          <w:i/>
          <w:iCs/>
          <w:color w:val="655A45" w:themeColor="accent5" w:themeShade="BF"/>
          <w:sz w:val="24"/>
        </w:rPr>
        <w:t>:</w:t>
      </w:r>
      <w:r w:rsidRPr="009C41F3">
        <w:rPr>
          <w:rFonts w:ascii="Arial" w:hAnsi="Arial" w:cs="Arial"/>
          <w:bCs/>
          <w:color w:val="655A45" w:themeColor="accent5" w:themeShade="BF"/>
          <w:sz w:val="24"/>
        </w:rPr>
        <w:t xml:space="preserve"> Determine </w:t>
      </w:r>
      <w:r w:rsidR="009C41F3" w:rsidRPr="009C41F3">
        <w:rPr>
          <w:rFonts w:ascii="Arial" w:hAnsi="Arial" w:cs="Arial"/>
          <w:bCs/>
          <w:color w:val="655A45" w:themeColor="accent5" w:themeShade="BF"/>
          <w:sz w:val="24"/>
        </w:rPr>
        <w:t>the warehousing requirements for the products listed below.</w:t>
      </w:r>
      <w:r w:rsidR="009C41F3">
        <w:rPr>
          <w:rFonts w:ascii="Arial" w:hAnsi="Arial" w:cs="Arial"/>
          <w:bCs/>
          <w:color w:val="655A45" w:themeColor="accent5" w:themeShade="BF"/>
          <w:sz w:val="24"/>
        </w:rPr>
        <w:t xml:space="preserve"> Consider how the item must be stored, how long it can be stored,</w:t>
      </w:r>
      <w:r w:rsidR="00EB5596">
        <w:rPr>
          <w:rFonts w:ascii="Arial" w:hAnsi="Arial" w:cs="Arial"/>
          <w:bCs/>
          <w:color w:val="655A45" w:themeColor="accent5" w:themeShade="BF"/>
          <w:sz w:val="24"/>
        </w:rPr>
        <w:t xml:space="preserve"> temperature requirements, how</w:t>
      </w:r>
      <w:r w:rsidR="009C41F3">
        <w:rPr>
          <w:rFonts w:ascii="Arial" w:hAnsi="Arial" w:cs="Arial"/>
          <w:bCs/>
          <w:color w:val="655A45" w:themeColor="accent5" w:themeShade="BF"/>
          <w:sz w:val="24"/>
        </w:rPr>
        <w:t xml:space="preserve"> often will product be shipped out, </w:t>
      </w:r>
      <w:r w:rsidR="00EB5596">
        <w:rPr>
          <w:rFonts w:ascii="Arial" w:hAnsi="Arial" w:cs="Arial"/>
          <w:bCs/>
          <w:color w:val="655A45" w:themeColor="accent5" w:themeShade="BF"/>
          <w:sz w:val="24"/>
        </w:rPr>
        <w:t>mode of product shipment,</w:t>
      </w:r>
      <w:r w:rsidR="009C41F3">
        <w:rPr>
          <w:rFonts w:ascii="Arial" w:hAnsi="Arial" w:cs="Arial"/>
          <w:bCs/>
          <w:color w:val="655A45" w:themeColor="accent5" w:themeShade="BF"/>
          <w:sz w:val="24"/>
        </w:rPr>
        <w:t xml:space="preserve"> etc.</w:t>
      </w:r>
      <w:r w:rsidR="00EB5596">
        <w:rPr>
          <w:rFonts w:ascii="Arial" w:hAnsi="Arial" w:cs="Arial"/>
          <w:bCs/>
          <w:color w:val="655A45" w:themeColor="accent5" w:themeShade="BF"/>
          <w:sz w:val="24"/>
        </w:rPr>
        <w:t xml:space="preserve"> For the type of warehouse, consider warehouse, distribution center, or fulfillment center.</w:t>
      </w:r>
      <w:r w:rsidR="009C41F3" w:rsidRPr="009C41F3">
        <w:rPr>
          <w:rFonts w:ascii="Arial" w:hAnsi="Arial" w:cs="Arial"/>
          <w:bCs/>
          <w:color w:val="655A45" w:themeColor="accent5" w:themeShade="BF"/>
          <w:sz w:val="24"/>
        </w:rPr>
        <w:t xml:space="preserve"> Assignment is worth </w:t>
      </w:r>
      <w:r w:rsidR="009C41F3" w:rsidRPr="009C41F3">
        <w:rPr>
          <w:rFonts w:ascii="Arial" w:hAnsi="Arial" w:cs="Arial"/>
          <w:b/>
          <w:color w:val="655A45" w:themeColor="accent5" w:themeShade="BF"/>
          <w:sz w:val="24"/>
        </w:rPr>
        <w:t>50 points</w:t>
      </w:r>
      <w:r w:rsidR="009C41F3" w:rsidRPr="009C41F3">
        <w:rPr>
          <w:rFonts w:ascii="Arial" w:hAnsi="Arial" w:cs="Arial"/>
          <w:bCs/>
          <w:color w:val="655A45" w:themeColor="accent5" w:themeShade="BF"/>
          <w:sz w:val="24"/>
        </w:rPr>
        <w:t>.</w:t>
      </w:r>
    </w:p>
    <w:p w14:paraId="65EAAE0A" w14:textId="534A47F0" w:rsidR="00703C3D" w:rsidRDefault="00703C3D" w:rsidP="00703C3D">
      <w:pPr>
        <w:rPr>
          <w:rFonts w:ascii="Arial" w:hAnsi="Arial" w:cs="Arial"/>
          <w:sz w:val="24"/>
        </w:rPr>
      </w:pPr>
    </w:p>
    <w:p w14:paraId="63B6B1E7" w14:textId="72D3E473" w:rsidR="009C41F3" w:rsidRDefault="009C41F3" w:rsidP="00703C3D">
      <w:pPr>
        <w:rPr>
          <w:rFonts w:ascii="Arial" w:hAnsi="Arial" w:cs="Arial"/>
          <w:sz w:val="24"/>
        </w:rPr>
      </w:pPr>
    </w:p>
    <w:p w14:paraId="45F00172" w14:textId="23743B06" w:rsidR="009C41F3" w:rsidRDefault="009C41F3" w:rsidP="00703C3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00"/>
        <w:gridCol w:w="2785"/>
      </w:tblGrid>
      <w:tr w:rsidR="009C41F3" w14:paraId="5DCE03F5" w14:textId="77777777" w:rsidTr="00EB5596">
        <w:tc>
          <w:tcPr>
            <w:tcW w:w="2605" w:type="dxa"/>
            <w:shd w:val="clear" w:color="auto" w:fill="655A45" w:themeFill="accent5" w:themeFillShade="BF"/>
          </w:tcPr>
          <w:p w14:paraId="4F8C7DD4" w14:textId="66D5C2B5" w:rsidR="009C41F3" w:rsidRPr="009C41F3" w:rsidRDefault="009C41F3" w:rsidP="00703C3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9C41F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Product</w:t>
            </w:r>
          </w:p>
        </w:tc>
        <w:tc>
          <w:tcPr>
            <w:tcW w:w="5400" w:type="dxa"/>
            <w:shd w:val="clear" w:color="auto" w:fill="655A45" w:themeFill="accent5" w:themeFillShade="BF"/>
          </w:tcPr>
          <w:p w14:paraId="5BC3FABE" w14:textId="66BEB0EC" w:rsidR="009C41F3" w:rsidRPr="009C41F3" w:rsidRDefault="009C41F3" w:rsidP="009C41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Warehouse Requirements</w:t>
            </w:r>
          </w:p>
        </w:tc>
        <w:tc>
          <w:tcPr>
            <w:tcW w:w="2785" w:type="dxa"/>
            <w:shd w:val="clear" w:color="auto" w:fill="655A45" w:themeFill="accent5" w:themeFillShade="BF"/>
          </w:tcPr>
          <w:p w14:paraId="087724DE" w14:textId="5B10B2A5" w:rsidR="009C41F3" w:rsidRPr="009C41F3" w:rsidRDefault="009C41F3" w:rsidP="009C41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9C41F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Type of Warehouse</w:t>
            </w:r>
          </w:p>
        </w:tc>
      </w:tr>
      <w:tr w:rsidR="009C41F3" w14:paraId="3EA885F4" w14:textId="77777777" w:rsidTr="00EB5596">
        <w:tc>
          <w:tcPr>
            <w:tcW w:w="2605" w:type="dxa"/>
          </w:tcPr>
          <w:p w14:paraId="50E296A3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Appliances</w:t>
            </w:r>
          </w:p>
        </w:tc>
        <w:tc>
          <w:tcPr>
            <w:tcW w:w="5400" w:type="dxa"/>
          </w:tcPr>
          <w:p w14:paraId="087639C8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1FB9BAB7" w14:textId="22393A1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333CCD9B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6429114C" w14:textId="77777777" w:rsidTr="00EB5596">
        <w:tc>
          <w:tcPr>
            <w:tcW w:w="2605" w:type="dxa"/>
          </w:tcPr>
          <w:p w14:paraId="6227C8E4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Automobiles</w:t>
            </w:r>
          </w:p>
        </w:tc>
        <w:tc>
          <w:tcPr>
            <w:tcW w:w="5400" w:type="dxa"/>
          </w:tcPr>
          <w:p w14:paraId="45F06545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2B52B835" w14:textId="3A9374B0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1F7199E1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16836CBC" w14:textId="77777777" w:rsidTr="00EB5596">
        <w:tc>
          <w:tcPr>
            <w:tcW w:w="2605" w:type="dxa"/>
          </w:tcPr>
          <w:p w14:paraId="1689722B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Cotton</w:t>
            </w:r>
          </w:p>
        </w:tc>
        <w:tc>
          <w:tcPr>
            <w:tcW w:w="5400" w:type="dxa"/>
          </w:tcPr>
          <w:p w14:paraId="22C4763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31EDA221" w14:textId="3269E009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0471A2E9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72DDF8EB" w14:textId="77777777" w:rsidTr="00EB5596">
        <w:tc>
          <w:tcPr>
            <w:tcW w:w="2605" w:type="dxa"/>
          </w:tcPr>
          <w:p w14:paraId="4AEF2297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Hazardous Chemicals</w:t>
            </w:r>
          </w:p>
        </w:tc>
        <w:tc>
          <w:tcPr>
            <w:tcW w:w="5400" w:type="dxa"/>
          </w:tcPr>
          <w:p w14:paraId="4A80101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530EE0D5" w14:textId="65F6DCC3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7CD42D62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0244C0BF" w14:textId="77777777" w:rsidTr="00EB5596">
        <w:tc>
          <w:tcPr>
            <w:tcW w:w="2605" w:type="dxa"/>
          </w:tcPr>
          <w:p w14:paraId="48A3340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 Supplies</w:t>
            </w:r>
          </w:p>
        </w:tc>
        <w:tc>
          <w:tcPr>
            <w:tcW w:w="5400" w:type="dxa"/>
          </w:tcPr>
          <w:p w14:paraId="2CFBF02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380EBBBE" w14:textId="2DF50CE1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28453666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2162B637" w14:textId="77777777" w:rsidTr="00EB5596">
        <w:tc>
          <w:tcPr>
            <w:tcW w:w="2605" w:type="dxa"/>
          </w:tcPr>
          <w:p w14:paraId="22A3232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Perishable Foods</w:t>
            </w:r>
          </w:p>
        </w:tc>
        <w:tc>
          <w:tcPr>
            <w:tcW w:w="5400" w:type="dxa"/>
          </w:tcPr>
          <w:p w14:paraId="70CE6A5B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67873DE5" w14:textId="5837D40A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4A5E5EAC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4A8EBD33" w14:textId="77777777" w:rsidTr="00EB5596">
        <w:tc>
          <w:tcPr>
            <w:tcW w:w="2605" w:type="dxa"/>
          </w:tcPr>
          <w:p w14:paraId="62F52BA1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Supplies</w:t>
            </w:r>
          </w:p>
        </w:tc>
        <w:tc>
          <w:tcPr>
            <w:tcW w:w="5400" w:type="dxa"/>
          </w:tcPr>
          <w:p w14:paraId="74746B38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72979C8C" w14:textId="39D32663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3D5D97A0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54F65F9C" w14:textId="77777777" w:rsidTr="00EB5596">
        <w:tc>
          <w:tcPr>
            <w:tcW w:w="2605" w:type="dxa"/>
          </w:tcPr>
          <w:p w14:paraId="60FD32D4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Seasonal Items</w:t>
            </w:r>
          </w:p>
        </w:tc>
        <w:tc>
          <w:tcPr>
            <w:tcW w:w="5400" w:type="dxa"/>
          </w:tcPr>
          <w:p w14:paraId="54A7D4E1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6C93DF08" w14:textId="31423995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7FE024F2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  <w:tr w:rsidR="009C41F3" w14:paraId="17C6C24C" w14:textId="77777777" w:rsidTr="00EB5596">
        <w:tc>
          <w:tcPr>
            <w:tcW w:w="2605" w:type="dxa"/>
          </w:tcPr>
          <w:p w14:paraId="0ABEBBB7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Subassemblies</w:t>
            </w:r>
          </w:p>
        </w:tc>
        <w:tc>
          <w:tcPr>
            <w:tcW w:w="5400" w:type="dxa"/>
          </w:tcPr>
          <w:p w14:paraId="73891625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  <w:p w14:paraId="52341F5D" w14:textId="459EAE14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5" w:type="dxa"/>
          </w:tcPr>
          <w:p w14:paraId="34A4225B" w14:textId="77777777" w:rsidR="009C41F3" w:rsidRDefault="009C41F3" w:rsidP="00703C3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F8DDEF1" w14:textId="00AEC974" w:rsidR="00703C3D" w:rsidRPr="00703C3D" w:rsidRDefault="00703C3D" w:rsidP="00703C3D">
      <w:pPr>
        <w:rPr>
          <w:rFonts w:ascii="Arial" w:hAnsi="Arial" w:cs="Arial"/>
          <w:sz w:val="24"/>
        </w:rPr>
      </w:pPr>
      <w:bookmarkStart w:id="1" w:name="_GoBack"/>
      <w:bookmarkEnd w:id="1"/>
    </w:p>
    <w:p w14:paraId="4C730B08" w14:textId="747B0BF8" w:rsidR="00703C3D" w:rsidRPr="00703C3D" w:rsidRDefault="00703C3D" w:rsidP="00703C3D">
      <w:pPr>
        <w:rPr>
          <w:rFonts w:ascii="Arial" w:hAnsi="Arial" w:cs="Arial"/>
          <w:sz w:val="24"/>
        </w:rPr>
      </w:pPr>
    </w:p>
    <w:p w14:paraId="2F871B23" w14:textId="6D28D2DF" w:rsidR="00703C3D" w:rsidRPr="00703C3D" w:rsidRDefault="00703C3D" w:rsidP="00703C3D">
      <w:pPr>
        <w:rPr>
          <w:rFonts w:ascii="Arial" w:hAnsi="Arial" w:cs="Arial"/>
          <w:sz w:val="24"/>
        </w:rPr>
      </w:pPr>
    </w:p>
    <w:p w14:paraId="522EA7F3" w14:textId="62EE07B1" w:rsidR="00703C3D" w:rsidRPr="00703C3D" w:rsidRDefault="00703C3D" w:rsidP="00703C3D">
      <w:pPr>
        <w:rPr>
          <w:rFonts w:ascii="Arial" w:hAnsi="Arial" w:cs="Arial"/>
          <w:sz w:val="24"/>
        </w:rPr>
      </w:pPr>
    </w:p>
    <w:p w14:paraId="60A9F926" w14:textId="73C81D90" w:rsidR="00703C3D" w:rsidRPr="00703C3D" w:rsidRDefault="00703C3D" w:rsidP="00703C3D">
      <w:pPr>
        <w:rPr>
          <w:rFonts w:ascii="Arial" w:hAnsi="Arial" w:cs="Arial"/>
          <w:sz w:val="24"/>
        </w:rPr>
      </w:pPr>
    </w:p>
    <w:p w14:paraId="5F2319B1" w14:textId="609D8938" w:rsidR="00703C3D" w:rsidRPr="00703C3D" w:rsidRDefault="00703C3D" w:rsidP="00703C3D">
      <w:pPr>
        <w:tabs>
          <w:tab w:val="left" w:pos="25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End w:id="0"/>
    </w:p>
    <w:sectPr w:rsidR="00703C3D" w:rsidRPr="00703C3D" w:rsidSect="00880D7C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6E66" w14:textId="77777777" w:rsidR="004A6D90" w:rsidRDefault="004A6D90" w:rsidP="00BE6C20">
      <w:pPr>
        <w:spacing w:after="0" w:line="240" w:lineRule="auto"/>
      </w:pPr>
      <w:r>
        <w:separator/>
      </w:r>
    </w:p>
  </w:endnote>
  <w:endnote w:type="continuationSeparator" w:id="0">
    <w:p w14:paraId="42D22DB0" w14:textId="77777777" w:rsidR="004A6D90" w:rsidRDefault="004A6D90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0F321278" w:rsidR="00880D7C" w:rsidRDefault="007E182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warehousing </w:t>
              </w:r>
              <w:r w:rsidR="00880D7C">
                <w:rPr>
                  <w:caps/>
                  <w:color w:val="808080" w:themeColor="background1" w:themeShade="80"/>
                  <w:sz w:val="18"/>
                  <w:szCs w:val="18"/>
                </w:rPr>
                <w:t>unit</w:t>
              </w:r>
              <w:r w:rsidR="00703C3D">
                <w:rPr>
                  <w:caps/>
                  <w:color w:val="808080" w:themeColor="background1" w:themeShade="80"/>
                  <w:sz w:val="18"/>
                  <w:szCs w:val="18"/>
                </w:rPr>
                <w:t>|student handout #2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6A57" w14:textId="77777777" w:rsidR="004A6D90" w:rsidRDefault="004A6D90" w:rsidP="00BE6C20">
      <w:pPr>
        <w:spacing w:after="0" w:line="240" w:lineRule="auto"/>
      </w:pPr>
      <w:r>
        <w:separator/>
      </w:r>
    </w:p>
  </w:footnote>
  <w:footnote w:type="continuationSeparator" w:id="0">
    <w:p w14:paraId="712F9C69" w14:textId="77777777" w:rsidR="004A6D90" w:rsidRDefault="004A6D90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218C9"/>
    <w:rsid w:val="000560D1"/>
    <w:rsid w:val="000673A4"/>
    <w:rsid w:val="00085A1D"/>
    <w:rsid w:val="0009394D"/>
    <w:rsid w:val="000B0595"/>
    <w:rsid w:val="000F6E00"/>
    <w:rsid w:val="00121145"/>
    <w:rsid w:val="00141D42"/>
    <w:rsid w:val="00145D7E"/>
    <w:rsid w:val="001551FF"/>
    <w:rsid w:val="00164CAC"/>
    <w:rsid w:val="001707C1"/>
    <w:rsid w:val="00185856"/>
    <w:rsid w:val="001A6504"/>
    <w:rsid w:val="001C53F8"/>
    <w:rsid w:val="001D2F87"/>
    <w:rsid w:val="001E104B"/>
    <w:rsid w:val="001E224E"/>
    <w:rsid w:val="001E37C5"/>
    <w:rsid w:val="0024045A"/>
    <w:rsid w:val="0026533B"/>
    <w:rsid w:val="00293AF8"/>
    <w:rsid w:val="002968BA"/>
    <w:rsid w:val="002A627D"/>
    <w:rsid w:val="002C2ED1"/>
    <w:rsid w:val="002E088A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706B"/>
    <w:rsid w:val="00565C55"/>
    <w:rsid w:val="005C2EE9"/>
    <w:rsid w:val="005E6C89"/>
    <w:rsid w:val="00602353"/>
    <w:rsid w:val="0064574F"/>
    <w:rsid w:val="006969E1"/>
    <w:rsid w:val="006A16AF"/>
    <w:rsid w:val="006D3CFA"/>
    <w:rsid w:val="00703C3D"/>
    <w:rsid w:val="007205F0"/>
    <w:rsid w:val="0076612D"/>
    <w:rsid w:val="00767617"/>
    <w:rsid w:val="007E1820"/>
    <w:rsid w:val="007F1F97"/>
    <w:rsid w:val="007F681F"/>
    <w:rsid w:val="00816C2F"/>
    <w:rsid w:val="00880D7C"/>
    <w:rsid w:val="008D2CD5"/>
    <w:rsid w:val="008F54D5"/>
    <w:rsid w:val="00924E44"/>
    <w:rsid w:val="00930298"/>
    <w:rsid w:val="00932653"/>
    <w:rsid w:val="00941459"/>
    <w:rsid w:val="009810AC"/>
    <w:rsid w:val="00994E86"/>
    <w:rsid w:val="009A5322"/>
    <w:rsid w:val="009B435E"/>
    <w:rsid w:val="009C41F3"/>
    <w:rsid w:val="00A27C76"/>
    <w:rsid w:val="00A27DCC"/>
    <w:rsid w:val="00A3061E"/>
    <w:rsid w:val="00A36A5B"/>
    <w:rsid w:val="00A407A3"/>
    <w:rsid w:val="00A472E9"/>
    <w:rsid w:val="00A74C76"/>
    <w:rsid w:val="00AC5183"/>
    <w:rsid w:val="00AF179F"/>
    <w:rsid w:val="00B05C5C"/>
    <w:rsid w:val="00B11D51"/>
    <w:rsid w:val="00BA05A1"/>
    <w:rsid w:val="00BB230B"/>
    <w:rsid w:val="00BB796C"/>
    <w:rsid w:val="00BE6C20"/>
    <w:rsid w:val="00BF07A7"/>
    <w:rsid w:val="00BF0EDE"/>
    <w:rsid w:val="00BF1E72"/>
    <w:rsid w:val="00C21C1B"/>
    <w:rsid w:val="00C73595"/>
    <w:rsid w:val="00C9236D"/>
    <w:rsid w:val="00CE723F"/>
    <w:rsid w:val="00D47BD8"/>
    <w:rsid w:val="00DB2720"/>
    <w:rsid w:val="00DF2CE0"/>
    <w:rsid w:val="00DF5D92"/>
    <w:rsid w:val="00E0431D"/>
    <w:rsid w:val="00E1755F"/>
    <w:rsid w:val="00E17642"/>
    <w:rsid w:val="00E32B6D"/>
    <w:rsid w:val="00E47798"/>
    <w:rsid w:val="00EA4312"/>
    <w:rsid w:val="00EB5596"/>
    <w:rsid w:val="00EE7AC0"/>
    <w:rsid w:val="00EF41E8"/>
    <w:rsid w:val="00F44837"/>
    <w:rsid w:val="00F44E8C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C6EE5"/>
    <w:rsid w:val="006E159E"/>
    <w:rsid w:val="00A57B38"/>
    <w:rsid w:val="00C82762"/>
    <w:rsid w:val="00C83C2F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warehousing unit|student handout #2</dc:creator>
  <cp:keywords/>
  <dc:description/>
  <cp:lastModifiedBy>ARIANE KAVASS</cp:lastModifiedBy>
  <cp:revision>4</cp:revision>
  <cp:lastPrinted>2019-06-20T14:11:00Z</cp:lastPrinted>
  <dcterms:created xsi:type="dcterms:W3CDTF">2019-08-01T12:29:00Z</dcterms:created>
  <dcterms:modified xsi:type="dcterms:W3CDTF">2019-08-01T12:42:00Z</dcterms:modified>
</cp:coreProperties>
</file>