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01BA" w14:textId="421B58EA" w:rsidR="00F46590" w:rsidRPr="00E66F53" w:rsidRDefault="00E66F53" w:rsidP="00E66F53">
      <w:pPr>
        <w:spacing w:after="0"/>
        <w:jc w:val="right"/>
        <w:rPr>
          <w:rFonts w:ascii="Arial" w:hAnsi="Arial" w:cs="Arial"/>
          <w:bCs/>
          <w:color w:val="0070C0"/>
          <w:sz w:val="20"/>
          <w:szCs w:val="20"/>
        </w:rPr>
      </w:pPr>
      <w:r w:rsidRPr="00E66F53">
        <w:rPr>
          <w:bCs/>
          <w:noProof/>
          <w:color w:val="000000" w:themeColor="text1"/>
          <w:sz w:val="20"/>
          <w:szCs w:val="20"/>
        </w:rPr>
        <w:drawing>
          <wp:anchor distT="0" distB="0" distL="114300" distR="114300" simplePos="0" relativeHeight="251662336" behindDoc="1" locked="0" layoutInCell="1" allowOverlap="1" wp14:anchorId="7D736371" wp14:editId="3ECF84CB">
            <wp:simplePos x="0" y="0"/>
            <wp:positionH relativeFrom="page">
              <wp:posOffset>161925</wp:posOffset>
            </wp:positionH>
            <wp:positionV relativeFrom="page">
              <wp:posOffset>247650</wp:posOffset>
            </wp:positionV>
            <wp:extent cx="1804670" cy="904489"/>
            <wp:effectExtent l="133350" t="114300" r="138430" b="143510"/>
            <wp:wrapTight wrapText="bothSides">
              <wp:wrapPolygon edited="0">
                <wp:start x="-1140" y="-2730"/>
                <wp:lineTo x="-1596" y="-1820"/>
                <wp:lineTo x="-1368" y="24573"/>
                <wp:lineTo x="22573" y="24573"/>
                <wp:lineTo x="23029" y="20022"/>
                <wp:lineTo x="23029" y="5461"/>
                <wp:lineTo x="22573" y="-2730"/>
                <wp:lineTo x="-1140" y="-27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04670" cy="9044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B24B5" w:rsidRPr="00E66F53">
        <w:rPr>
          <w:bCs/>
          <w:noProof/>
          <w:color w:val="000000" w:themeColor="text1"/>
          <w:sz w:val="20"/>
          <w:szCs w:val="20"/>
        </w:rPr>
        <mc:AlternateContent>
          <mc:Choice Requires="wps">
            <w:drawing>
              <wp:anchor distT="45720" distB="45720" distL="114300" distR="114300" simplePos="0" relativeHeight="251661312" behindDoc="1" locked="0" layoutInCell="1" allowOverlap="1" wp14:anchorId="354484D2" wp14:editId="4B83C228">
                <wp:simplePos x="0" y="0"/>
                <wp:positionH relativeFrom="margin">
                  <wp:posOffset>1428750</wp:posOffset>
                </wp:positionH>
                <wp:positionV relativeFrom="margin">
                  <wp:posOffset>-76200</wp:posOffset>
                </wp:positionV>
                <wp:extent cx="57054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76275"/>
                        </a:xfrm>
                        <a:prstGeom prst="rect">
                          <a:avLst/>
                        </a:prstGeom>
                        <a:solidFill>
                          <a:schemeClr val="bg1">
                            <a:lumMod val="65000"/>
                          </a:schemeClr>
                        </a:solidFill>
                        <a:ln w="9525">
                          <a:solidFill>
                            <a:srgbClr val="000000"/>
                          </a:solidFill>
                          <a:miter lim="800000"/>
                          <a:headEnd/>
                          <a:tailEnd/>
                        </a:ln>
                      </wps:spPr>
                      <wps:txbx>
                        <w:txbxContent>
                          <w:p w14:paraId="733DB458" w14:textId="2CCBE7BC" w:rsidR="00F750B7" w:rsidRPr="002006D9" w:rsidRDefault="00CB3C9A" w:rsidP="007B24B5">
                            <w:pPr>
                              <w:spacing w:before="240" w:after="240"/>
                              <w:jc w:val="right"/>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002006D9"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06D9" w:rsidRPr="002006D9">
                              <w:rPr>
                                <w:rFonts w:ascii="Abadi" w:hAnsi="Abadi" w:cs="Arial"/>
                                <w:b/>
                                <w:bCs/>
                                <w:sz w:val="36"/>
                                <w:szCs w:val="36"/>
                              </w:rPr>
                              <w:t xml:space="preserve"> </w:t>
                            </w:r>
                            <w:r w:rsidR="002006D9"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C76DB">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xamine Supply Chain Management Risk</w:t>
                            </w:r>
                            <w:r w:rsidR="002006D9" w:rsidRPr="002006D9">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left:0;text-align:left;margin-left:112.5pt;margin-top:-6pt;width:449.25pt;height:5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" fillcolor="#a5a5a5 [2092]">
                <v:textbox>
                  <w:txbxContent>
                    <w:p w14:paraId="733DB458" w14:textId="2CCBE7BC" w:rsidR="00F750B7" w:rsidRPr="002006D9" w:rsidRDefault="00CB3C9A" w:rsidP="007B24B5">
                      <w:pPr>
                        <w:spacing w:before="240" w:after="240"/>
                        <w:jc w:val="right"/>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002006D9"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006D9" w:rsidRPr="002006D9">
                        <w:rPr>
                          <w:rFonts w:ascii="Abadi" w:hAnsi="Abadi" w:cs="Arial"/>
                          <w:b/>
                          <w:bCs/>
                          <w:sz w:val="36"/>
                          <w:szCs w:val="36"/>
                        </w:rPr>
                        <w:t xml:space="preserve"> </w:t>
                      </w:r>
                      <w:r w:rsidR="002006D9" w:rsidRPr="002006D9">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C76DB">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xamine Supply Chain Management Risk</w:t>
                      </w:r>
                      <w:r w:rsidR="002006D9" w:rsidRPr="002006D9">
                        <w:rPr>
                          <w:b/>
                          <w:bCs/>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anchory="margin"/>
              </v:shape>
            </w:pict>
          </mc:Fallback>
        </mc:AlternateContent>
      </w:r>
      <w:bookmarkStart w:id="0" w:name="_Hlk8296580"/>
      <w:r w:rsidRPr="00E66F53">
        <w:rPr>
          <w:rFonts w:ascii="Arial" w:hAnsi="Arial" w:cs="Arial"/>
          <w:bCs/>
          <w:color w:val="000000" w:themeColor="text1"/>
          <w:sz w:val="20"/>
          <w:szCs w:val="20"/>
        </w:rPr>
        <w:t>Name: __________________ Class: _____</w:t>
      </w:r>
    </w:p>
    <w:p w14:paraId="2FF64D85" w14:textId="596C367C" w:rsidR="00E66F53" w:rsidRDefault="00CB3C9A" w:rsidP="00463530">
      <w:pPr>
        <w:spacing w:after="0"/>
        <w:rPr>
          <w:rFonts w:ascii="Arial" w:hAnsi="Arial" w:cs="Arial"/>
          <w:b/>
          <w:color w:val="475A60" w:themeColor="accent2" w:themeShade="80"/>
          <w:sz w:val="24"/>
        </w:rPr>
      </w:pPr>
      <w:r w:rsidRPr="00CB3C9A">
        <w:rPr>
          <w:rFonts w:ascii="Arial" w:hAnsi="Arial" w:cs="Arial"/>
          <w:b/>
          <w:noProof/>
          <w:color w:val="475A60" w:themeColor="accent2" w:themeShade="80"/>
          <w:sz w:val="24"/>
        </w:rPr>
        <mc:AlternateContent>
          <mc:Choice Requires="wps">
            <w:drawing>
              <wp:anchor distT="45720" distB="45720" distL="114300" distR="114300" simplePos="0" relativeHeight="251664384" behindDoc="1" locked="0" layoutInCell="1" allowOverlap="1" wp14:anchorId="393AB69E" wp14:editId="69F34F4D">
                <wp:simplePos x="0" y="0"/>
                <wp:positionH relativeFrom="column">
                  <wp:posOffset>76200</wp:posOffset>
                </wp:positionH>
                <wp:positionV relativeFrom="page">
                  <wp:posOffset>1733550</wp:posOffset>
                </wp:positionV>
                <wp:extent cx="6705600" cy="3881755"/>
                <wp:effectExtent l="0" t="0" r="19050" b="24130"/>
                <wp:wrapTight wrapText="bothSides">
                  <wp:wrapPolygon edited="0">
                    <wp:start x="0" y="0"/>
                    <wp:lineTo x="0" y="21667"/>
                    <wp:lineTo x="21600" y="21667"/>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881755"/>
                        </a:xfrm>
                        <a:prstGeom prst="rect">
                          <a:avLst/>
                        </a:prstGeom>
                        <a:solidFill>
                          <a:schemeClr val="accent2">
                            <a:lumMod val="75000"/>
                          </a:schemeClr>
                        </a:solidFill>
                        <a:ln w="9525">
                          <a:solidFill>
                            <a:srgbClr val="000000"/>
                          </a:solidFill>
                          <a:miter lim="800000"/>
                          <a:headEnd/>
                          <a:tailEnd/>
                        </a:ln>
                      </wps:spPr>
                      <wps:txbx>
                        <w:txbxContent>
                          <w:p w14:paraId="6E0A856D" w14:textId="209EB3AF" w:rsidR="00CB3C9A" w:rsidRPr="00CB3C9A" w:rsidRDefault="00CB3C9A">
                            <w:pPr>
                              <w:rPr>
                                <w:color w:val="FFFFFF" w:themeColor="background1"/>
                                <w:sz w:val="24"/>
                                <w:szCs w:val="24"/>
                              </w:rPr>
                            </w:pPr>
                            <w:r w:rsidRPr="00CB3C9A">
                              <w:rPr>
                                <w:color w:val="FFFFFF" w:themeColor="background1"/>
                                <w:sz w:val="24"/>
                                <w:szCs w:val="24"/>
                              </w:rPr>
                              <w:t>NCSC works with its partners to assess and mitigate the activities of foreign intelligence entities and other adversaries who attempt to compromise the supply chains of our government and industry. These adversaries exploit supply chain vulnerabilities to steal America’s intellectual property, corrupt our software, surveil our critical infrastructure, and carry out other malicious activities. They infiltrate trusted suppliers and vendors to target equipment, systems, and information used every day by the government, businesses, and individuals. The cost to our nation comes not only in lost innovation, jobs, and economic advantage, but also in reduced U.S. military strength.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AB69E" id="_x0000_s1027" type="#_x0000_t202" style="position:absolute;margin-left:6pt;margin-top:136.5pt;width:528pt;height:305.6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" fillcolor="#6b8790 [2405]">
                <v:textbox style="mso-fit-shape-to-text:t">
                  <w:txbxContent>
                    <w:p w14:paraId="6E0A856D" w14:textId="209EB3AF" w:rsidR="00CB3C9A" w:rsidRPr="00CB3C9A" w:rsidRDefault="00CB3C9A">
                      <w:pPr>
                        <w:rPr>
                          <w:color w:val="FFFFFF" w:themeColor="background1"/>
                          <w:sz w:val="24"/>
                          <w:szCs w:val="24"/>
                        </w:rPr>
                      </w:pPr>
                      <w:r w:rsidRPr="00CB3C9A">
                        <w:rPr>
                          <w:color w:val="FFFFFF" w:themeColor="background1"/>
                          <w:sz w:val="24"/>
                          <w:szCs w:val="24"/>
                        </w:rPr>
                        <w:t>NCSC works with its partners to assess and mitigate the activities of foreign intelligence entities and other adversaries who attempt to compromise the supply chains of our government and industry. These adversaries exploit supply chain vulnerabilities to steal America’s intellectual property, corrupt our software, surveil our critical infrastructure, and carry out other malicious activities. They infiltrate trusted suppliers and vendors to target equipment, systems, and information used every day by the government, businesses, and individuals. The cost to our nation comes not only in lost innovation, jobs, and economic advantage, but also in reduced U.S. military strength.</w:t>
                      </w:r>
                    </w:p>
                  </w:txbxContent>
                </v:textbox>
                <w10:wrap type="tight" anchory="page"/>
              </v:shape>
            </w:pict>
          </mc:Fallback>
        </mc:AlternateContent>
      </w:r>
    </w:p>
    <w:p w14:paraId="22B0D68E" w14:textId="77777777" w:rsidR="00CB3C9A" w:rsidRDefault="00CB3C9A" w:rsidP="00463530">
      <w:pPr>
        <w:spacing w:after="0"/>
        <w:rPr>
          <w:rFonts w:ascii="Arial" w:hAnsi="Arial" w:cs="Arial"/>
          <w:b/>
          <w:color w:val="475A60" w:themeColor="accent2" w:themeShade="80"/>
          <w:sz w:val="24"/>
        </w:rPr>
      </w:pPr>
    </w:p>
    <w:p w14:paraId="7FF529BD" w14:textId="70AEA623" w:rsidR="00463530" w:rsidRDefault="00E66F53" w:rsidP="00463530">
      <w:pPr>
        <w:spacing w:after="0"/>
        <w:rPr>
          <w:rFonts w:ascii="Arial" w:hAnsi="Arial" w:cs="Arial"/>
          <w:b/>
          <w:color w:val="475A60" w:themeColor="accent2" w:themeShade="80"/>
          <w:sz w:val="24"/>
        </w:rPr>
      </w:pPr>
      <w:r>
        <w:rPr>
          <w:rFonts w:ascii="Arial" w:hAnsi="Arial" w:cs="Arial"/>
          <w:b/>
          <w:color w:val="475A60" w:themeColor="accent2" w:themeShade="80"/>
          <w:sz w:val="24"/>
        </w:rPr>
        <w:t>Directions</w:t>
      </w:r>
    </w:p>
    <w:p w14:paraId="799196B5" w14:textId="7D644C96" w:rsidR="008B32E0" w:rsidRDefault="008B32E0" w:rsidP="00CB3C9A">
      <w:pPr>
        <w:pStyle w:val="ListParagraph"/>
        <w:numPr>
          <w:ilvl w:val="0"/>
          <w:numId w:val="10"/>
        </w:numPr>
        <w:ind w:left="360"/>
        <w:rPr>
          <w:rFonts w:eastAsiaTheme="minorEastAsia" w:hAnsi="Arial"/>
          <w:color w:val="000000" w:themeColor="text1"/>
          <w:kern w:val="24"/>
        </w:rPr>
      </w:pPr>
      <w:r w:rsidRPr="00CB3C9A">
        <w:t>Using the</w:t>
      </w:r>
      <w:r w:rsidRPr="00CB3C9A">
        <w:t xml:space="preserve"> National</w:t>
      </w:r>
      <w:r w:rsidRPr="00CB3C9A">
        <w:t xml:space="preserve"> </w:t>
      </w:r>
      <w:r w:rsidRPr="00CB3C9A">
        <w:t>Counterintelligence</w:t>
      </w:r>
      <w:r w:rsidRPr="00CB3C9A">
        <w:t xml:space="preserve"> </w:t>
      </w:r>
      <w:r w:rsidRPr="00CB3C9A">
        <w:t>and Security Cente</w:t>
      </w:r>
      <w:r w:rsidRPr="00CB3C9A">
        <w:t>r</w:t>
      </w:r>
      <w:r w:rsidR="00CB3C9A">
        <w:t xml:space="preserve"> (NCSC)</w:t>
      </w:r>
      <w:r w:rsidRPr="00CB3C9A">
        <w:t xml:space="preserve"> website</w:t>
      </w:r>
      <w:r w:rsidRPr="00CB3C9A">
        <w:rPr>
          <w:rFonts w:ascii="Arial" w:hAnsi="Arial" w:cs="Arial"/>
          <w:bCs/>
          <w:color w:val="475A60" w:themeColor="accent2" w:themeShade="80"/>
          <w:sz w:val="20"/>
          <w:szCs w:val="20"/>
        </w:rPr>
        <w:t xml:space="preserve"> (</w:t>
      </w:r>
      <w:hyperlink r:id="rId8" w:history="1">
        <w:r w:rsidRPr="00CB3C9A">
          <w:rPr>
            <w:color w:val="0000FF"/>
            <w:u w:val="single"/>
          </w:rPr>
          <w:t>https://www.dni.gov/index.php/ncsc-what-we-do/ncsc-supply-chain-threats</w:t>
        </w:r>
      </w:hyperlink>
      <w:r>
        <w:t xml:space="preserve">), research supply chain security risks and how companies should </w:t>
      </w:r>
      <w:r w:rsidRPr="00CB3C9A">
        <w:rPr>
          <w:rFonts w:eastAsiaTheme="minorEastAsia" w:hAnsi="Arial"/>
          <w:color w:val="000000" w:themeColor="text1"/>
          <w:kern w:val="24"/>
        </w:rPr>
        <w:t>address safety and security within their supply chain channels</w:t>
      </w:r>
      <w:r w:rsidRPr="00CB3C9A">
        <w:rPr>
          <w:rFonts w:eastAsiaTheme="minorEastAsia" w:hAnsi="Arial"/>
          <w:color w:val="000000" w:themeColor="text1"/>
          <w:kern w:val="24"/>
        </w:rPr>
        <w:t>.</w:t>
      </w:r>
    </w:p>
    <w:p w14:paraId="0BDB125A" w14:textId="77777777" w:rsidR="00CB3C9A" w:rsidRPr="00CB3C9A" w:rsidRDefault="00CB3C9A" w:rsidP="00CB3C9A">
      <w:pPr>
        <w:pStyle w:val="ListParagraph"/>
        <w:ind w:left="360"/>
        <w:rPr>
          <w:rFonts w:eastAsiaTheme="minorEastAsia" w:hAnsi="Arial"/>
          <w:color w:val="000000" w:themeColor="text1"/>
          <w:kern w:val="24"/>
        </w:rPr>
      </w:pPr>
    </w:p>
    <w:p w14:paraId="7368BEAE" w14:textId="08401DE0" w:rsidR="008B32E0" w:rsidRPr="00CB3C9A" w:rsidRDefault="008B32E0" w:rsidP="00CB3C9A">
      <w:pPr>
        <w:pStyle w:val="ListParagraph"/>
        <w:numPr>
          <w:ilvl w:val="0"/>
          <w:numId w:val="10"/>
        </w:numPr>
        <w:spacing w:after="0"/>
        <w:ind w:left="360"/>
        <w:rPr>
          <w:rFonts w:eastAsiaTheme="minorEastAsia" w:hAnsi="Arial"/>
          <w:color w:val="000000" w:themeColor="text1"/>
          <w:kern w:val="24"/>
        </w:rPr>
      </w:pPr>
      <w:r w:rsidRPr="00CB3C9A">
        <w:rPr>
          <w:rFonts w:eastAsiaTheme="minorEastAsia" w:hAnsi="Arial"/>
          <w:color w:val="000000" w:themeColor="text1"/>
          <w:kern w:val="24"/>
        </w:rPr>
        <w:t>Look at the following supply chains security risks:</w:t>
      </w:r>
    </w:p>
    <w:p w14:paraId="1EC6BFFE" w14:textId="5DC2E06A" w:rsidR="008B32E0" w:rsidRPr="008B32E0" w:rsidRDefault="008B32E0" w:rsidP="00CB3C9A">
      <w:pPr>
        <w:pStyle w:val="ListParagraph"/>
        <w:numPr>
          <w:ilvl w:val="1"/>
          <w:numId w:val="10"/>
        </w:numPr>
        <w:spacing w:after="0"/>
        <w:rPr>
          <w:rFonts w:eastAsiaTheme="minorEastAsia" w:hAnsi="Arial"/>
          <w:color w:val="000000" w:themeColor="text1"/>
          <w:kern w:val="24"/>
        </w:rPr>
      </w:pPr>
      <w:r w:rsidRPr="008B32E0">
        <w:rPr>
          <w:rFonts w:eastAsiaTheme="minorEastAsia" w:hAnsi="Arial"/>
          <w:color w:val="000000" w:themeColor="text1"/>
          <w:kern w:val="24"/>
        </w:rPr>
        <w:t>Cyber Security</w:t>
      </w:r>
    </w:p>
    <w:p w14:paraId="18283081" w14:textId="270ACDA9" w:rsidR="008B32E0" w:rsidRPr="008B32E0" w:rsidRDefault="008B32E0" w:rsidP="00CB3C9A">
      <w:pPr>
        <w:pStyle w:val="ListParagraph"/>
        <w:numPr>
          <w:ilvl w:val="1"/>
          <w:numId w:val="10"/>
        </w:numPr>
        <w:spacing w:after="0"/>
        <w:rPr>
          <w:rFonts w:eastAsiaTheme="minorEastAsia" w:hAnsi="Arial"/>
          <w:color w:val="000000" w:themeColor="text1"/>
          <w:kern w:val="24"/>
        </w:rPr>
      </w:pPr>
      <w:r w:rsidRPr="008B32E0">
        <w:rPr>
          <w:rFonts w:eastAsiaTheme="minorEastAsia" w:hAnsi="Arial"/>
          <w:color w:val="000000" w:themeColor="text1"/>
          <w:kern w:val="24"/>
        </w:rPr>
        <w:t>Insider Threats</w:t>
      </w:r>
    </w:p>
    <w:p w14:paraId="64808171" w14:textId="13C7589F" w:rsidR="008B32E0" w:rsidRPr="008B32E0" w:rsidRDefault="008B32E0" w:rsidP="00CB3C9A">
      <w:pPr>
        <w:pStyle w:val="ListParagraph"/>
        <w:numPr>
          <w:ilvl w:val="1"/>
          <w:numId w:val="10"/>
        </w:numPr>
        <w:spacing w:after="0"/>
        <w:rPr>
          <w:rFonts w:eastAsiaTheme="minorEastAsia" w:hAnsi="Arial"/>
          <w:color w:val="000000" w:themeColor="text1"/>
          <w:kern w:val="24"/>
        </w:rPr>
      </w:pPr>
      <w:r w:rsidRPr="008B32E0">
        <w:rPr>
          <w:rFonts w:eastAsiaTheme="minorEastAsia" w:hAnsi="Arial"/>
          <w:color w:val="000000" w:themeColor="text1"/>
          <w:kern w:val="24"/>
        </w:rPr>
        <w:t>Physical Security</w:t>
      </w:r>
    </w:p>
    <w:p w14:paraId="619F817C" w14:textId="3A0A9769" w:rsidR="008B32E0" w:rsidRPr="008B32E0" w:rsidRDefault="008B32E0" w:rsidP="00CB3C9A">
      <w:pPr>
        <w:pStyle w:val="ListParagraph"/>
        <w:numPr>
          <w:ilvl w:val="1"/>
          <w:numId w:val="10"/>
        </w:numPr>
        <w:spacing w:after="0"/>
        <w:rPr>
          <w:rFonts w:eastAsiaTheme="minorEastAsia" w:hAnsi="Arial"/>
          <w:color w:val="000000" w:themeColor="text1"/>
          <w:kern w:val="24"/>
        </w:rPr>
      </w:pPr>
      <w:r w:rsidRPr="008B32E0">
        <w:rPr>
          <w:rFonts w:eastAsiaTheme="minorEastAsia" w:hAnsi="Arial"/>
          <w:color w:val="000000" w:themeColor="text1"/>
          <w:kern w:val="24"/>
        </w:rPr>
        <w:t>Economic Threats</w:t>
      </w:r>
    </w:p>
    <w:p w14:paraId="435F6C0A" w14:textId="24DD0C9F" w:rsidR="008B32E0" w:rsidRPr="008B32E0" w:rsidRDefault="008B32E0" w:rsidP="00CB3C9A">
      <w:pPr>
        <w:pStyle w:val="ListParagraph"/>
        <w:numPr>
          <w:ilvl w:val="1"/>
          <w:numId w:val="10"/>
        </w:numPr>
        <w:spacing w:after="0"/>
        <w:rPr>
          <w:rFonts w:eastAsiaTheme="minorEastAsia" w:hAnsi="Arial"/>
          <w:color w:val="000000" w:themeColor="text1"/>
          <w:kern w:val="24"/>
        </w:rPr>
      </w:pPr>
      <w:r w:rsidRPr="008B32E0">
        <w:rPr>
          <w:rFonts w:eastAsiaTheme="minorEastAsia" w:hAnsi="Arial"/>
          <w:color w:val="000000" w:themeColor="text1"/>
          <w:kern w:val="24"/>
        </w:rPr>
        <w:t>Personnel Threats</w:t>
      </w:r>
    </w:p>
    <w:p w14:paraId="589E8D9D" w14:textId="77777777" w:rsidR="008B32E0" w:rsidRPr="008B32E0" w:rsidRDefault="008B32E0" w:rsidP="00CB3C9A">
      <w:pPr>
        <w:spacing w:after="0"/>
        <w:ind w:left="-360"/>
        <w:rPr>
          <w:rFonts w:ascii="Arial" w:hAnsi="Arial" w:cs="Arial"/>
          <w:bCs/>
          <w:color w:val="475A60" w:themeColor="accent2" w:themeShade="80"/>
          <w:sz w:val="20"/>
          <w:szCs w:val="20"/>
        </w:rPr>
      </w:pPr>
    </w:p>
    <w:p w14:paraId="39EFA048" w14:textId="52E2344E" w:rsidR="00E66F53" w:rsidRDefault="008B32E0" w:rsidP="00CB3C9A">
      <w:pPr>
        <w:pStyle w:val="ListParagraph"/>
        <w:numPr>
          <w:ilvl w:val="0"/>
          <w:numId w:val="10"/>
        </w:numPr>
        <w:spacing w:after="0"/>
        <w:ind w:left="360"/>
      </w:pPr>
      <w:r w:rsidRPr="00CB3C9A">
        <w:t xml:space="preserve">Provide examples of </w:t>
      </w:r>
      <w:r w:rsidR="00CB3C9A" w:rsidRPr="00CB3C9A">
        <w:t xml:space="preserve">how </w:t>
      </w:r>
      <w:r w:rsidR="00CB3C9A" w:rsidRPr="00CB3C9A">
        <w:t>NCSC works to raise awareness about supply chain threats, while providing resources to mitigate risks.</w:t>
      </w:r>
    </w:p>
    <w:p w14:paraId="4AFD700C" w14:textId="77777777" w:rsidR="00CB3C9A" w:rsidRDefault="00CB3C9A" w:rsidP="00CB3C9A">
      <w:pPr>
        <w:pStyle w:val="ListParagraph"/>
        <w:spacing w:after="0"/>
        <w:ind w:left="360"/>
      </w:pPr>
    </w:p>
    <w:p w14:paraId="5177AAD8" w14:textId="0B70C0C7" w:rsidR="00CB3C9A" w:rsidRDefault="00CB3C9A" w:rsidP="00CB3C9A">
      <w:pPr>
        <w:pStyle w:val="ListParagraph"/>
        <w:numPr>
          <w:ilvl w:val="0"/>
          <w:numId w:val="10"/>
        </w:numPr>
        <w:spacing w:after="0"/>
        <w:ind w:left="360"/>
      </w:pPr>
      <w:r>
        <w:t>Create a PowerPoint Presentation of your research including your opinion on how companies can avoid supply chain security risks.</w:t>
      </w:r>
    </w:p>
    <w:p w14:paraId="7FA048FD" w14:textId="77777777" w:rsidR="00CB3C9A" w:rsidRDefault="00CB3C9A" w:rsidP="00CB3C9A">
      <w:pPr>
        <w:pStyle w:val="ListParagraph"/>
        <w:numPr>
          <w:ilvl w:val="0"/>
          <w:numId w:val="10"/>
        </w:numPr>
        <w:spacing w:after="0"/>
        <w:ind w:left="360"/>
      </w:pPr>
    </w:p>
    <w:p w14:paraId="21B82BC2" w14:textId="23EE63A0" w:rsidR="00CB3C9A" w:rsidRPr="00CB3C9A" w:rsidRDefault="00CB3C9A" w:rsidP="00CB3C9A">
      <w:pPr>
        <w:pStyle w:val="ListParagraph"/>
        <w:numPr>
          <w:ilvl w:val="0"/>
          <w:numId w:val="10"/>
        </w:numPr>
        <w:spacing w:after="0"/>
        <w:ind w:left="360"/>
      </w:pPr>
      <w:r>
        <w:t>Present your findings to the class.</w:t>
      </w:r>
    </w:p>
    <w:p w14:paraId="6A8DB24F" w14:textId="5DFC0EC4" w:rsidR="00E66F53" w:rsidRDefault="00E66F53" w:rsidP="00463530">
      <w:pPr>
        <w:spacing w:after="0"/>
        <w:rPr>
          <w:rFonts w:ascii="Arial" w:hAnsi="Arial" w:cs="Arial"/>
          <w:bCs/>
          <w:color w:val="475A60" w:themeColor="accent2" w:themeShade="80"/>
          <w:sz w:val="20"/>
          <w:szCs w:val="20"/>
        </w:rPr>
      </w:pPr>
    </w:p>
    <w:p w14:paraId="29CF533D" w14:textId="20C8060B" w:rsidR="00E66F53" w:rsidRDefault="00E66F53" w:rsidP="00463530">
      <w:pPr>
        <w:spacing w:after="0"/>
        <w:rPr>
          <w:rFonts w:ascii="Arial" w:hAnsi="Arial" w:cs="Arial"/>
          <w:bCs/>
          <w:color w:val="475A60" w:themeColor="accent2" w:themeShade="80"/>
          <w:sz w:val="20"/>
          <w:szCs w:val="20"/>
        </w:rPr>
      </w:pPr>
      <w:r>
        <w:rPr>
          <w:rFonts w:ascii="Arial" w:hAnsi="Arial" w:cs="Arial"/>
          <w:bCs/>
          <w:color w:val="475A60" w:themeColor="accent2" w:themeShade="80"/>
          <w:sz w:val="20"/>
          <w:szCs w:val="20"/>
        </w:rPr>
        <w:t>______________________________________________________________________________________</w:t>
      </w:r>
    </w:p>
    <w:bookmarkEnd w:id="0"/>
    <w:p w14:paraId="7AD5257E" w14:textId="08BE5FB4" w:rsidR="00E66F53" w:rsidRDefault="00E66F53" w:rsidP="00463530">
      <w:pPr>
        <w:spacing w:after="0"/>
        <w:rPr>
          <w:rFonts w:ascii="Arial" w:hAnsi="Arial" w:cs="Arial"/>
          <w:bCs/>
          <w:color w:val="475A60" w:themeColor="accent2" w:themeShade="80"/>
          <w:sz w:val="20"/>
          <w:szCs w:val="20"/>
        </w:rPr>
      </w:pPr>
    </w:p>
    <w:p w14:paraId="0A6A2468" w14:textId="1EA7004E" w:rsidR="00CB3C9A" w:rsidRPr="00CB3C9A" w:rsidRDefault="00CB3C9A" w:rsidP="00463530">
      <w:pPr>
        <w:spacing w:after="0"/>
        <w:rPr>
          <w:rFonts w:ascii="Arial" w:hAnsi="Arial" w:cs="Arial"/>
          <w:b/>
          <w:color w:val="475A60" w:themeColor="accent2" w:themeShade="80"/>
          <w:sz w:val="24"/>
        </w:rPr>
      </w:pPr>
      <w:r w:rsidRPr="00CB3C9A">
        <w:rPr>
          <w:rFonts w:ascii="Arial" w:hAnsi="Arial" w:cs="Arial"/>
          <w:b/>
          <w:color w:val="475A60" w:themeColor="accent2" w:themeShade="80"/>
          <w:sz w:val="24"/>
        </w:rPr>
        <w:t>Due Date - _____________</w:t>
      </w:r>
    </w:p>
    <w:p w14:paraId="07C360AB" w14:textId="6D6039AA" w:rsidR="00CB3C9A" w:rsidRPr="00CB3C9A" w:rsidRDefault="00CB3C9A" w:rsidP="00463530">
      <w:pPr>
        <w:spacing w:after="0"/>
        <w:rPr>
          <w:rFonts w:ascii="Arial" w:hAnsi="Arial" w:cs="Arial"/>
          <w:b/>
          <w:color w:val="475A60" w:themeColor="accent2" w:themeShade="80"/>
          <w:sz w:val="24"/>
        </w:rPr>
      </w:pPr>
    </w:p>
    <w:p w14:paraId="1F911BC8" w14:textId="4B55DAA3" w:rsidR="00CB3C9A" w:rsidRPr="00CB3C9A" w:rsidRDefault="00CB3C9A" w:rsidP="00463530">
      <w:pPr>
        <w:spacing w:after="0"/>
        <w:rPr>
          <w:rFonts w:ascii="Arial" w:hAnsi="Arial" w:cs="Arial"/>
          <w:b/>
          <w:color w:val="475A60" w:themeColor="accent2" w:themeShade="80"/>
          <w:sz w:val="24"/>
        </w:rPr>
      </w:pPr>
      <w:r w:rsidRPr="00CB3C9A">
        <w:rPr>
          <w:rFonts w:ascii="Arial" w:hAnsi="Arial" w:cs="Arial"/>
          <w:b/>
          <w:color w:val="475A60" w:themeColor="accent2" w:themeShade="80"/>
          <w:sz w:val="24"/>
        </w:rPr>
        <w:t>Grading</w:t>
      </w:r>
    </w:p>
    <w:p w14:paraId="37B186B1" w14:textId="752DD0A7" w:rsidR="00CB3C9A" w:rsidRPr="00CB3C9A" w:rsidRDefault="00CB3C9A" w:rsidP="00463530">
      <w:pPr>
        <w:spacing w:after="0"/>
      </w:pPr>
      <w:r w:rsidRPr="00CB3C9A">
        <w:t>Project will be graded using the Project with Presentation Rubric and will be worth 100 points.</w:t>
      </w:r>
    </w:p>
    <w:sectPr w:rsidR="00CB3C9A" w:rsidRPr="00CB3C9A" w:rsidSect="00D10780">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A248" w14:textId="77777777" w:rsidR="00FF7E38" w:rsidRDefault="00FF7E38" w:rsidP="00BE6C20">
      <w:pPr>
        <w:spacing w:after="0" w:line="240" w:lineRule="auto"/>
      </w:pPr>
      <w:r>
        <w:separator/>
      </w:r>
    </w:p>
  </w:endnote>
  <w:endnote w:type="continuationSeparator" w:id="0">
    <w:p w14:paraId="715640AE" w14:textId="77777777" w:rsidR="00FF7E38" w:rsidRDefault="00FF7E38"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2006D9" w14:paraId="176BEF98" w14:textId="77777777" w:rsidTr="008B32E0">
      <w:trPr>
        <w:trHeight w:hRule="exact" w:val="115"/>
        <w:jc w:val="center"/>
      </w:trPr>
      <w:tc>
        <w:tcPr>
          <w:tcW w:w="4686" w:type="dxa"/>
          <w:shd w:val="clear" w:color="auto" w:fill="A6A6A6" w:themeFill="background1" w:themeFillShade="A6"/>
          <w:tcMar>
            <w:top w:w="0" w:type="dxa"/>
            <w:bottom w:w="0" w:type="dxa"/>
          </w:tcMar>
        </w:tcPr>
        <w:p w14:paraId="05B7FFBB" w14:textId="77777777" w:rsidR="002006D9" w:rsidRDefault="002006D9">
          <w:pPr>
            <w:pStyle w:val="Header"/>
            <w:tabs>
              <w:tab w:val="clear" w:pos="4680"/>
              <w:tab w:val="clear" w:pos="9360"/>
            </w:tabs>
            <w:rPr>
              <w:caps/>
              <w:sz w:val="18"/>
            </w:rPr>
          </w:pPr>
        </w:p>
      </w:tc>
      <w:tc>
        <w:tcPr>
          <w:tcW w:w="4674" w:type="dxa"/>
          <w:shd w:val="clear" w:color="auto" w:fill="A6A6A6" w:themeFill="background1" w:themeFillShade="A6"/>
          <w:tcMar>
            <w:top w:w="0" w:type="dxa"/>
            <w:bottom w:w="0" w:type="dxa"/>
          </w:tcMar>
        </w:tcPr>
        <w:p w14:paraId="7EDA4A93" w14:textId="77777777" w:rsidR="002006D9" w:rsidRDefault="002006D9">
          <w:pPr>
            <w:pStyle w:val="Header"/>
            <w:tabs>
              <w:tab w:val="clear" w:pos="4680"/>
              <w:tab w:val="clear" w:pos="9360"/>
            </w:tabs>
            <w:jc w:val="right"/>
            <w:rPr>
              <w:caps/>
              <w:sz w:val="18"/>
            </w:rPr>
          </w:pPr>
        </w:p>
      </w:tc>
    </w:tr>
    <w:tr w:rsidR="002006D9" w14:paraId="64E66C01" w14:textId="77777777">
      <w:trPr>
        <w:jc w:val="center"/>
      </w:trPr>
      <w:sdt>
        <w:sdtPr>
          <w:rPr>
            <w:caps/>
            <w:color w:val="808080" w:themeColor="background1" w:themeShade="80"/>
            <w:sz w:val="18"/>
            <w:szCs w:val="18"/>
          </w:rPr>
          <w:alias w:val="Author"/>
          <w:tag w:val=""/>
          <w:id w:val="1534151868"/>
          <w:placeholder>
            <w:docPart w:val="3EA9319CE81A4B04833E886EF454F7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2D34AB3" w14:textId="23A0B05A" w:rsidR="002006D9" w:rsidRDefault="008B32E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support roles and partnerships unit</w:t>
              </w:r>
            </w:p>
          </w:tc>
        </w:sdtContent>
      </w:sdt>
      <w:tc>
        <w:tcPr>
          <w:tcW w:w="4674" w:type="dxa"/>
          <w:shd w:val="clear" w:color="auto" w:fill="auto"/>
          <w:vAlign w:val="center"/>
        </w:tcPr>
        <w:p w14:paraId="1EE57C83" w14:textId="65CD3876" w:rsidR="002006D9" w:rsidRDefault="008B32E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2006D9">
            <w:rPr>
              <w:caps/>
              <w:color w:val="808080" w:themeColor="background1" w:themeShade="80"/>
              <w:sz w:val="18"/>
              <w:szCs w:val="18"/>
            </w:rPr>
            <w:fldChar w:fldCharType="begin"/>
          </w:r>
          <w:r w:rsidR="002006D9">
            <w:rPr>
              <w:caps/>
              <w:color w:val="808080" w:themeColor="background1" w:themeShade="80"/>
              <w:sz w:val="18"/>
              <w:szCs w:val="18"/>
            </w:rPr>
            <w:instrText xml:space="preserve"> PAGE   \* MERGEFORMAT </w:instrText>
          </w:r>
          <w:r w:rsidR="002006D9">
            <w:rPr>
              <w:caps/>
              <w:color w:val="808080" w:themeColor="background1" w:themeShade="80"/>
              <w:sz w:val="18"/>
              <w:szCs w:val="18"/>
            </w:rPr>
            <w:fldChar w:fldCharType="separate"/>
          </w:r>
          <w:r w:rsidR="002006D9">
            <w:rPr>
              <w:caps/>
              <w:noProof/>
              <w:color w:val="808080" w:themeColor="background1" w:themeShade="80"/>
              <w:sz w:val="18"/>
              <w:szCs w:val="18"/>
            </w:rPr>
            <w:t>2</w:t>
          </w:r>
          <w:r w:rsidR="002006D9">
            <w:rPr>
              <w:caps/>
              <w:noProof/>
              <w:color w:val="808080" w:themeColor="background1" w:themeShade="80"/>
              <w:sz w:val="18"/>
              <w:szCs w:val="18"/>
            </w:rPr>
            <w:fldChar w:fldCharType="end"/>
          </w:r>
        </w:p>
      </w:tc>
    </w:tr>
  </w:tbl>
  <w:p w14:paraId="16DDC5EC" w14:textId="02E0D0D4"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46FC" w14:textId="77777777" w:rsidR="00FF7E38" w:rsidRDefault="00FF7E38" w:rsidP="00BE6C20">
      <w:pPr>
        <w:spacing w:after="0" w:line="240" w:lineRule="auto"/>
      </w:pPr>
      <w:r>
        <w:separator/>
      </w:r>
    </w:p>
  </w:footnote>
  <w:footnote w:type="continuationSeparator" w:id="0">
    <w:p w14:paraId="0A596A68" w14:textId="77777777" w:rsidR="00FF7E38" w:rsidRDefault="00FF7E38"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61667"/>
    <w:multiLevelType w:val="hybridMultilevel"/>
    <w:tmpl w:val="552C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B0535"/>
    <w:multiLevelType w:val="hybridMultilevel"/>
    <w:tmpl w:val="F7CA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174"/>
    <w:multiLevelType w:val="hybridMultilevel"/>
    <w:tmpl w:val="A790EF34"/>
    <w:lvl w:ilvl="0" w:tplc="4CE43E4E">
      <w:start w:val="1"/>
      <w:numFmt w:val="bullet"/>
      <w:lvlText w:val="•"/>
      <w:lvlJc w:val="left"/>
      <w:pPr>
        <w:tabs>
          <w:tab w:val="num" w:pos="720"/>
        </w:tabs>
        <w:ind w:left="720" w:hanging="360"/>
      </w:pPr>
      <w:rPr>
        <w:rFonts w:ascii="Times New Roman" w:hAnsi="Times New Roman" w:hint="default"/>
      </w:rPr>
    </w:lvl>
    <w:lvl w:ilvl="1" w:tplc="920C3D66" w:tentative="1">
      <w:start w:val="1"/>
      <w:numFmt w:val="bullet"/>
      <w:lvlText w:val="•"/>
      <w:lvlJc w:val="left"/>
      <w:pPr>
        <w:tabs>
          <w:tab w:val="num" w:pos="1440"/>
        </w:tabs>
        <w:ind w:left="1440" w:hanging="360"/>
      </w:pPr>
      <w:rPr>
        <w:rFonts w:ascii="Times New Roman" w:hAnsi="Times New Roman" w:hint="default"/>
      </w:rPr>
    </w:lvl>
    <w:lvl w:ilvl="2" w:tplc="03DEC4C4" w:tentative="1">
      <w:start w:val="1"/>
      <w:numFmt w:val="bullet"/>
      <w:lvlText w:val="•"/>
      <w:lvlJc w:val="left"/>
      <w:pPr>
        <w:tabs>
          <w:tab w:val="num" w:pos="2160"/>
        </w:tabs>
        <w:ind w:left="2160" w:hanging="360"/>
      </w:pPr>
      <w:rPr>
        <w:rFonts w:ascii="Times New Roman" w:hAnsi="Times New Roman" w:hint="default"/>
      </w:rPr>
    </w:lvl>
    <w:lvl w:ilvl="3" w:tplc="3342EC40" w:tentative="1">
      <w:start w:val="1"/>
      <w:numFmt w:val="bullet"/>
      <w:lvlText w:val="•"/>
      <w:lvlJc w:val="left"/>
      <w:pPr>
        <w:tabs>
          <w:tab w:val="num" w:pos="2880"/>
        </w:tabs>
        <w:ind w:left="2880" w:hanging="360"/>
      </w:pPr>
      <w:rPr>
        <w:rFonts w:ascii="Times New Roman" w:hAnsi="Times New Roman" w:hint="default"/>
      </w:rPr>
    </w:lvl>
    <w:lvl w:ilvl="4" w:tplc="E4807E72" w:tentative="1">
      <w:start w:val="1"/>
      <w:numFmt w:val="bullet"/>
      <w:lvlText w:val="•"/>
      <w:lvlJc w:val="left"/>
      <w:pPr>
        <w:tabs>
          <w:tab w:val="num" w:pos="3600"/>
        </w:tabs>
        <w:ind w:left="3600" w:hanging="360"/>
      </w:pPr>
      <w:rPr>
        <w:rFonts w:ascii="Times New Roman" w:hAnsi="Times New Roman" w:hint="default"/>
      </w:rPr>
    </w:lvl>
    <w:lvl w:ilvl="5" w:tplc="53126ECA" w:tentative="1">
      <w:start w:val="1"/>
      <w:numFmt w:val="bullet"/>
      <w:lvlText w:val="•"/>
      <w:lvlJc w:val="left"/>
      <w:pPr>
        <w:tabs>
          <w:tab w:val="num" w:pos="4320"/>
        </w:tabs>
        <w:ind w:left="4320" w:hanging="360"/>
      </w:pPr>
      <w:rPr>
        <w:rFonts w:ascii="Times New Roman" w:hAnsi="Times New Roman" w:hint="default"/>
      </w:rPr>
    </w:lvl>
    <w:lvl w:ilvl="6" w:tplc="A30464A8" w:tentative="1">
      <w:start w:val="1"/>
      <w:numFmt w:val="bullet"/>
      <w:lvlText w:val="•"/>
      <w:lvlJc w:val="left"/>
      <w:pPr>
        <w:tabs>
          <w:tab w:val="num" w:pos="5040"/>
        </w:tabs>
        <w:ind w:left="5040" w:hanging="360"/>
      </w:pPr>
      <w:rPr>
        <w:rFonts w:ascii="Times New Roman" w:hAnsi="Times New Roman" w:hint="default"/>
      </w:rPr>
    </w:lvl>
    <w:lvl w:ilvl="7" w:tplc="D88C2570" w:tentative="1">
      <w:start w:val="1"/>
      <w:numFmt w:val="bullet"/>
      <w:lvlText w:val="•"/>
      <w:lvlJc w:val="left"/>
      <w:pPr>
        <w:tabs>
          <w:tab w:val="num" w:pos="5760"/>
        </w:tabs>
        <w:ind w:left="5760" w:hanging="360"/>
      </w:pPr>
      <w:rPr>
        <w:rFonts w:ascii="Times New Roman" w:hAnsi="Times New Roman" w:hint="default"/>
      </w:rPr>
    </w:lvl>
    <w:lvl w:ilvl="8" w:tplc="817CF9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397B0A"/>
    <w:multiLevelType w:val="hybridMultilevel"/>
    <w:tmpl w:val="1CA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F237E8"/>
    <w:multiLevelType w:val="hybridMultilevel"/>
    <w:tmpl w:val="F3A81C80"/>
    <w:lvl w:ilvl="0" w:tplc="DA9C56E8">
      <w:start w:val="1"/>
      <w:numFmt w:val="bullet"/>
      <w:lvlText w:val="•"/>
      <w:lvlJc w:val="left"/>
      <w:pPr>
        <w:tabs>
          <w:tab w:val="num" w:pos="720"/>
        </w:tabs>
        <w:ind w:left="720" w:hanging="360"/>
      </w:pPr>
      <w:rPr>
        <w:rFonts w:ascii="Times New Roman" w:hAnsi="Times New Roman" w:hint="default"/>
      </w:rPr>
    </w:lvl>
    <w:lvl w:ilvl="1" w:tplc="9D0433F0" w:tentative="1">
      <w:start w:val="1"/>
      <w:numFmt w:val="bullet"/>
      <w:lvlText w:val="•"/>
      <w:lvlJc w:val="left"/>
      <w:pPr>
        <w:tabs>
          <w:tab w:val="num" w:pos="1440"/>
        </w:tabs>
        <w:ind w:left="1440" w:hanging="360"/>
      </w:pPr>
      <w:rPr>
        <w:rFonts w:ascii="Times New Roman" w:hAnsi="Times New Roman" w:hint="default"/>
      </w:rPr>
    </w:lvl>
    <w:lvl w:ilvl="2" w:tplc="01E2997C" w:tentative="1">
      <w:start w:val="1"/>
      <w:numFmt w:val="bullet"/>
      <w:lvlText w:val="•"/>
      <w:lvlJc w:val="left"/>
      <w:pPr>
        <w:tabs>
          <w:tab w:val="num" w:pos="2160"/>
        </w:tabs>
        <w:ind w:left="2160" w:hanging="360"/>
      </w:pPr>
      <w:rPr>
        <w:rFonts w:ascii="Times New Roman" w:hAnsi="Times New Roman" w:hint="default"/>
      </w:rPr>
    </w:lvl>
    <w:lvl w:ilvl="3" w:tplc="A2FAE702" w:tentative="1">
      <w:start w:val="1"/>
      <w:numFmt w:val="bullet"/>
      <w:lvlText w:val="•"/>
      <w:lvlJc w:val="left"/>
      <w:pPr>
        <w:tabs>
          <w:tab w:val="num" w:pos="2880"/>
        </w:tabs>
        <w:ind w:left="2880" w:hanging="360"/>
      </w:pPr>
      <w:rPr>
        <w:rFonts w:ascii="Times New Roman" w:hAnsi="Times New Roman" w:hint="default"/>
      </w:rPr>
    </w:lvl>
    <w:lvl w:ilvl="4" w:tplc="FA60D90A" w:tentative="1">
      <w:start w:val="1"/>
      <w:numFmt w:val="bullet"/>
      <w:lvlText w:val="•"/>
      <w:lvlJc w:val="left"/>
      <w:pPr>
        <w:tabs>
          <w:tab w:val="num" w:pos="3600"/>
        </w:tabs>
        <w:ind w:left="3600" w:hanging="360"/>
      </w:pPr>
      <w:rPr>
        <w:rFonts w:ascii="Times New Roman" w:hAnsi="Times New Roman" w:hint="default"/>
      </w:rPr>
    </w:lvl>
    <w:lvl w:ilvl="5" w:tplc="DFA2E9E8" w:tentative="1">
      <w:start w:val="1"/>
      <w:numFmt w:val="bullet"/>
      <w:lvlText w:val="•"/>
      <w:lvlJc w:val="left"/>
      <w:pPr>
        <w:tabs>
          <w:tab w:val="num" w:pos="4320"/>
        </w:tabs>
        <w:ind w:left="4320" w:hanging="360"/>
      </w:pPr>
      <w:rPr>
        <w:rFonts w:ascii="Times New Roman" w:hAnsi="Times New Roman" w:hint="default"/>
      </w:rPr>
    </w:lvl>
    <w:lvl w:ilvl="6" w:tplc="2C6CAD6C" w:tentative="1">
      <w:start w:val="1"/>
      <w:numFmt w:val="bullet"/>
      <w:lvlText w:val="•"/>
      <w:lvlJc w:val="left"/>
      <w:pPr>
        <w:tabs>
          <w:tab w:val="num" w:pos="5040"/>
        </w:tabs>
        <w:ind w:left="5040" w:hanging="360"/>
      </w:pPr>
      <w:rPr>
        <w:rFonts w:ascii="Times New Roman" w:hAnsi="Times New Roman" w:hint="default"/>
      </w:rPr>
    </w:lvl>
    <w:lvl w:ilvl="7" w:tplc="B2061638" w:tentative="1">
      <w:start w:val="1"/>
      <w:numFmt w:val="bullet"/>
      <w:lvlText w:val="•"/>
      <w:lvlJc w:val="left"/>
      <w:pPr>
        <w:tabs>
          <w:tab w:val="num" w:pos="5760"/>
        </w:tabs>
        <w:ind w:left="5760" w:hanging="360"/>
      </w:pPr>
      <w:rPr>
        <w:rFonts w:ascii="Times New Roman" w:hAnsi="Times New Roman" w:hint="default"/>
      </w:rPr>
    </w:lvl>
    <w:lvl w:ilvl="8" w:tplc="B734B85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CE85393"/>
    <w:multiLevelType w:val="hybridMultilevel"/>
    <w:tmpl w:val="0B1CA2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83E27F5"/>
    <w:multiLevelType w:val="hybridMultilevel"/>
    <w:tmpl w:val="127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57270"/>
    <w:multiLevelType w:val="hybridMultilevel"/>
    <w:tmpl w:val="E69C8812"/>
    <w:lvl w:ilvl="0" w:tplc="A2E6E4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8"/>
  </w:num>
  <w:num w:numId="6">
    <w:abstractNumId w:val="2"/>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4819"/>
    <w:rsid w:val="0000575F"/>
    <w:rsid w:val="0007132C"/>
    <w:rsid w:val="00085A1D"/>
    <w:rsid w:val="0009394D"/>
    <w:rsid w:val="000F6E00"/>
    <w:rsid w:val="00145D7E"/>
    <w:rsid w:val="00164CAC"/>
    <w:rsid w:val="001707C1"/>
    <w:rsid w:val="00185856"/>
    <w:rsid w:val="001A3A4B"/>
    <w:rsid w:val="001C53F8"/>
    <w:rsid w:val="001D0AAC"/>
    <w:rsid w:val="001D17F0"/>
    <w:rsid w:val="001D2F87"/>
    <w:rsid w:val="001E104B"/>
    <w:rsid w:val="001E224E"/>
    <w:rsid w:val="001E37C5"/>
    <w:rsid w:val="002006D9"/>
    <w:rsid w:val="002225D1"/>
    <w:rsid w:val="0026533B"/>
    <w:rsid w:val="002A3056"/>
    <w:rsid w:val="002A627D"/>
    <w:rsid w:val="002E7E03"/>
    <w:rsid w:val="002F038C"/>
    <w:rsid w:val="00311590"/>
    <w:rsid w:val="00384D95"/>
    <w:rsid w:val="003A0536"/>
    <w:rsid w:val="003A3680"/>
    <w:rsid w:val="003A6F63"/>
    <w:rsid w:val="003E7E9F"/>
    <w:rsid w:val="0041307F"/>
    <w:rsid w:val="00463530"/>
    <w:rsid w:val="00466E9B"/>
    <w:rsid w:val="004B58B7"/>
    <w:rsid w:val="004F78D1"/>
    <w:rsid w:val="005106C5"/>
    <w:rsid w:val="0055706B"/>
    <w:rsid w:val="00565C55"/>
    <w:rsid w:val="00567034"/>
    <w:rsid w:val="0059057A"/>
    <w:rsid w:val="005E6C89"/>
    <w:rsid w:val="00602353"/>
    <w:rsid w:val="00662547"/>
    <w:rsid w:val="006969E1"/>
    <w:rsid w:val="006A16AF"/>
    <w:rsid w:val="006D3CFA"/>
    <w:rsid w:val="007205F0"/>
    <w:rsid w:val="007412B6"/>
    <w:rsid w:val="0076612D"/>
    <w:rsid w:val="00767617"/>
    <w:rsid w:val="007B24B5"/>
    <w:rsid w:val="007F681F"/>
    <w:rsid w:val="00816C2F"/>
    <w:rsid w:val="0082081A"/>
    <w:rsid w:val="008443A9"/>
    <w:rsid w:val="00883B5E"/>
    <w:rsid w:val="00887666"/>
    <w:rsid w:val="008B32E0"/>
    <w:rsid w:val="008D2CD5"/>
    <w:rsid w:val="008F54D5"/>
    <w:rsid w:val="00924E44"/>
    <w:rsid w:val="00926FB8"/>
    <w:rsid w:val="00941459"/>
    <w:rsid w:val="00986232"/>
    <w:rsid w:val="009A5322"/>
    <w:rsid w:val="009B435E"/>
    <w:rsid w:val="00A27DCC"/>
    <w:rsid w:val="00A3061E"/>
    <w:rsid w:val="00A36A5B"/>
    <w:rsid w:val="00A407A3"/>
    <w:rsid w:val="00A472E9"/>
    <w:rsid w:val="00A663DE"/>
    <w:rsid w:val="00AC5183"/>
    <w:rsid w:val="00B17005"/>
    <w:rsid w:val="00B601A0"/>
    <w:rsid w:val="00B6062A"/>
    <w:rsid w:val="00B76CC5"/>
    <w:rsid w:val="00BB230B"/>
    <w:rsid w:val="00BC76DB"/>
    <w:rsid w:val="00BE6C20"/>
    <w:rsid w:val="00BF07A7"/>
    <w:rsid w:val="00BF0EDE"/>
    <w:rsid w:val="00BF1E72"/>
    <w:rsid w:val="00C21C1B"/>
    <w:rsid w:val="00C247E4"/>
    <w:rsid w:val="00C73595"/>
    <w:rsid w:val="00C9236D"/>
    <w:rsid w:val="00CB3C9A"/>
    <w:rsid w:val="00CE723F"/>
    <w:rsid w:val="00CE7EBE"/>
    <w:rsid w:val="00D10780"/>
    <w:rsid w:val="00D11966"/>
    <w:rsid w:val="00D47BD8"/>
    <w:rsid w:val="00DF2CE0"/>
    <w:rsid w:val="00DF5D92"/>
    <w:rsid w:val="00E0431D"/>
    <w:rsid w:val="00E169E6"/>
    <w:rsid w:val="00E1755F"/>
    <w:rsid w:val="00E17642"/>
    <w:rsid w:val="00E32B6D"/>
    <w:rsid w:val="00E3521B"/>
    <w:rsid w:val="00E47798"/>
    <w:rsid w:val="00E66F53"/>
    <w:rsid w:val="00EA4312"/>
    <w:rsid w:val="00EB59A0"/>
    <w:rsid w:val="00EF41E8"/>
    <w:rsid w:val="00F46590"/>
    <w:rsid w:val="00F750B7"/>
    <w:rsid w:val="00FA05F7"/>
    <w:rsid w:val="00FB5E95"/>
    <w:rsid w:val="00FE0BF9"/>
    <w:rsid w:val="00FF0655"/>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B32E0"/>
    <w:pPr>
      <w:keepNext/>
      <w:keepLines/>
      <w:spacing w:before="40" w:after="0"/>
      <w:outlineLvl w:val="3"/>
    </w:pPr>
    <w:rPr>
      <w:rFonts w:asciiTheme="majorHAnsi" w:eastAsiaTheme="majorEastAsia" w:hAnsiTheme="majorHAnsi" w:cstheme="majorBidi"/>
      <w:i/>
      <w:iCs/>
      <w:color w:val="C57C0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32E0"/>
    <w:rPr>
      <w:rFonts w:asciiTheme="majorHAnsi" w:eastAsiaTheme="majorEastAsia" w:hAnsiTheme="majorHAnsi" w:cstheme="majorBidi"/>
      <w:i/>
      <w:iCs/>
      <w:color w:val="C57C0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4997">
      <w:bodyDiv w:val="1"/>
      <w:marLeft w:val="0"/>
      <w:marRight w:val="0"/>
      <w:marTop w:val="0"/>
      <w:marBottom w:val="0"/>
      <w:divBdr>
        <w:top w:val="none" w:sz="0" w:space="0" w:color="auto"/>
        <w:left w:val="none" w:sz="0" w:space="0" w:color="auto"/>
        <w:bottom w:val="none" w:sz="0" w:space="0" w:color="auto"/>
        <w:right w:val="none" w:sz="0" w:space="0" w:color="auto"/>
      </w:divBdr>
    </w:div>
    <w:div w:id="517279094">
      <w:bodyDiv w:val="1"/>
      <w:marLeft w:val="0"/>
      <w:marRight w:val="0"/>
      <w:marTop w:val="0"/>
      <w:marBottom w:val="0"/>
      <w:divBdr>
        <w:top w:val="none" w:sz="0" w:space="0" w:color="auto"/>
        <w:left w:val="none" w:sz="0" w:space="0" w:color="auto"/>
        <w:bottom w:val="none" w:sz="0" w:space="0" w:color="auto"/>
        <w:right w:val="none" w:sz="0" w:space="0" w:color="auto"/>
      </w:divBdr>
      <w:divsChild>
        <w:div w:id="328336425">
          <w:marLeft w:val="547"/>
          <w:marRight w:val="0"/>
          <w:marTop w:val="86"/>
          <w:marBottom w:val="0"/>
          <w:divBdr>
            <w:top w:val="none" w:sz="0" w:space="0" w:color="auto"/>
            <w:left w:val="none" w:sz="0" w:space="0" w:color="auto"/>
            <w:bottom w:val="none" w:sz="0" w:space="0" w:color="auto"/>
            <w:right w:val="none" w:sz="0" w:space="0" w:color="auto"/>
          </w:divBdr>
        </w:div>
        <w:div w:id="1048190883">
          <w:marLeft w:val="547"/>
          <w:marRight w:val="0"/>
          <w:marTop w:val="86"/>
          <w:marBottom w:val="0"/>
          <w:divBdr>
            <w:top w:val="none" w:sz="0" w:space="0" w:color="auto"/>
            <w:left w:val="none" w:sz="0" w:space="0" w:color="auto"/>
            <w:bottom w:val="none" w:sz="0" w:space="0" w:color="auto"/>
            <w:right w:val="none" w:sz="0" w:space="0" w:color="auto"/>
          </w:divBdr>
        </w:div>
        <w:div w:id="1299603573">
          <w:marLeft w:val="547"/>
          <w:marRight w:val="0"/>
          <w:marTop w:val="86"/>
          <w:marBottom w:val="0"/>
          <w:divBdr>
            <w:top w:val="none" w:sz="0" w:space="0" w:color="auto"/>
            <w:left w:val="none" w:sz="0" w:space="0" w:color="auto"/>
            <w:bottom w:val="none" w:sz="0" w:space="0" w:color="auto"/>
            <w:right w:val="none" w:sz="0" w:space="0" w:color="auto"/>
          </w:divBdr>
        </w:div>
        <w:div w:id="740714713">
          <w:marLeft w:val="547"/>
          <w:marRight w:val="0"/>
          <w:marTop w:val="86"/>
          <w:marBottom w:val="0"/>
          <w:divBdr>
            <w:top w:val="none" w:sz="0" w:space="0" w:color="auto"/>
            <w:left w:val="none" w:sz="0" w:space="0" w:color="auto"/>
            <w:bottom w:val="none" w:sz="0" w:space="0" w:color="auto"/>
            <w:right w:val="none" w:sz="0" w:space="0" w:color="auto"/>
          </w:divBdr>
        </w:div>
        <w:div w:id="2144694567">
          <w:marLeft w:val="547"/>
          <w:marRight w:val="0"/>
          <w:marTop w:val="86"/>
          <w:marBottom w:val="0"/>
          <w:divBdr>
            <w:top w:val="none" w:sz="0" w:space="0" w:color="auto"/>
            <w:left w:val="none" w:sz="0" w:space="0" w:color="auto"/>
            <w:bottom w:val="none" w:sz="0" w:space="0" w:color="auto"/>
            <w:right w:val="none" w:sz="0" w:space="0" w:color="auto"/>
          </w:divBdr>
        </w:div>
      </w:divsChild>
    </w:div>
    <w:div w:id="789862176">
      <w:bodyDiv w:val="1"/>
      <w:marLeft w:val="0"/>
      <w:marRight w:val="0"/>
      <w:marTop w:val="0"/>
      <w:marBottom w:val="0"/>
      <w:divBdr>
        <w:top w:val="none" w:sz="0" w:space="0" w:color="auto"/>
        <w:left w:val="none" w:sz="0" w:space="0" w:color="auto"/>
        <w:bottom w:val="none" w:sz="0" w:space="0" w:color="auto"/>
        <w:right w:val="none" w:sz="0" w:space="0" w:color="auto"/>
      </w:divBdr>
      <w:divsChild>
        <w:div w:id="1614555178">
          <w:marLeft w:val="547"/>
          <w:marRight w:val="0"/>
          <w:marTop w:val="115"/>
          <w:marBottom w:val="0"/>
          <w:divBdr>
            <w:top w:val="none" w:sz="0" w:space="0" w:color="auto"/>
            <w:left w:val="none" w:sz="0" w:space="0" w:color="auto"/>
            <w:bottom w:val="none" w:sz="0" w:space="0" w:color="auto"/>
            <w:right w:val="none" w:sz="0" w:space="0" w:color="auto"/>
          </w:divBdr>
        </w:div>
        <w:div w:id="1251310951">
          <w:marLeft w:val="547"/>
          <w:marRight w:val="0"/>
          <w:marTop w:val="115"/>
          <w:marBottom w:val="0"/>
          <w:divBdr>
            <w:top w:val="none" w:sz="0" w:space="0" w:color="auto"/>
            <w:left w:val="none" w:sz="0" w:space="0" w:color="auto"/>
            <w:bottom w:val="none" w:sz="0" w:space="0" w:color="auto"/>
            <w:right w:val="none" w:sz="0" w:space="0" w:color="auto"/>
          </w:divBdr>
        </w:div>
        <w:div w:id="678822555">
          <w:marLeft w:val="547"/>
          <w:marRight w:val="0"/>
          <w:marTop w:val="115"/>
          <w:marBottom w:val="0"/>
          <w:divBdr>
            <w:top w:val="none" w:sz="0" w:space="0" w:color="auto"/>
            <w:left w:val="none" w:sz="0" w:space="0" w:color="auto"/>
            <w:bottom w:val="none" w:sz="0" w:space="0" w:color="auto"/>
            <w:right w:val="none" w:sz="0" w:space="0" w:color="auto"/>
          </w:divBdr>
        </w:div>
        <w:div w:id="1201163160">
          <w:marLeft w:val="547"/>
          <w:marRight w:val="0"/>
          <w:marTop w:val="115"/>
          <w:marBottom w:val="0"/>
          <w:divBdr>
            <w:top w:val="none" w:sz="0" w:space="0" w:color="auto"/>
            <w:left w:val="none" w:sz="0" w:space="0" w:color="auto"/>
            <w:bottom w:val="none" w:sz="0" w:space="0" w:color="auto"/>
            <w:right w:val="none" w:sz="0" w:space="0" w:color="auto"/>
          </w:divBdr>
        </w:div>
      </w:divsChild>
    </w:div>
    <w:div w:id="1059354556">
      <w:bodyDiv w:val="1"/>
      <w:marLeft w:val="0"/>
      <w:marRight w:val="0"/>
      <w:marTop w:val="0"/>
      <w:marBottom w:val="0"/>
      <w:divBdr>
        <w:top w:val="none" w:sz="0" w:space="0" w:color="auto"/>
        <w:left w:val="none" w:sz="0" w:space="0" w:color="auto"/>
        <w:bottom w:val="none" w:sz="0" w:space="0" w:color="auto"/>
        <w:right w:val="none" w:sz="0" w:space="0" w:color="auto"/>
      </w:divBdr>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20047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i.gov/index.php/ncsc-what-we-do/ncsc-supply-chain-threa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A9319CE81A4B04833E886EF454F791"/>
        <w:category>
          <w:name w:val="General"/>
          <w:gallery w:val="placeholder"/>
        </w:category>
        <w:types>
          <w:type w:val="bbPlcHdr"/>
        </w:types>
        <w:behaviors>
          <w:behavior w:val="content"/>
        </w:behaviors>
        <w:guid w:val="{C7573E09-8C2F-4DB5-9412-BA4E13A1A021}"/>
      </w:docPartPr>
      <w:docPartBody>
        <w:p w:rsidR="000333C8" w:rsidRDefault="002C2C68" w:rsidP="002C2C68">
          <w:pPr>
            <w:pStyle w:val="3EA9319CE81A4B04833E886EF454F7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8"/>
    <w:rsid w:val="000333C8"/>
    <w:rsid w:val="002C2C68"/>
    <w:rsid w:val="007E7CA2"/>
    <w:rsid w:val="00880290"/>
    <w:rsid w:val="00C82AF6"/>
    <w:rsid w:val="00EC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68"/>
    <w:rPr>
      <w:color w:val="808080"/>
    </w:rPr>
  </w:style>
  <w:style w:type="paragraph" w:customStyle="1" w:styleId="3EA9319CE81A4B04833E886EF454F791">
    <w:name w:val="3EA9319CE81A4B04833E886EF454F791"/>
    <w:rsid w:val="002C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support roles and partnerships unit</dc:creator>
  <cp:keywords/>
  <dc:description/>
  <cp:lastModifiedBy>ARIANE B KAVASS</cp:lastModifiedBy>
  <cp:revision>3</cp:revision>
  <cp:lastPrinted>2019-12-01T13:13:00Z</cp:lastPrinted>
  <dcterms:created xsi:type="dcterms:W3CDTF">2020-08-06T13:00:00Z</dcterms:created>
  <dcterms:modified xsi:type="dcterms:W3CDTF">2020-08-06T13:27:00Z</dcterms:modified>
</cp:coreProperties>
</file>