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02ADFBE4" w:rsidR="00E47798" w:rsidRDefault="00722A34" w:rsidP="00BF1E72">
      <w:pPr>
        <w:spacing w:after="0"/>
        <w:rPr>
          <w:noProof/>
        </w:rPr>
      </w:pPr>
      <w:r w:rsidRPr="00722A34">
        <w:drawing>
          <wp:anchor distT="0" distB="0" distL="114300" distR="114300" simplePos="0" relativeHeight="251662336" behindDoc="1" locked="0" layoutInCell="1" allowOverlap="1" wp14:anchorId="7DDDDC7C" wp14:editId="28B2E437">
            <wp:simplePos x="0" y="0"/>
            <wp:positionH relativeFrom="margin">
              <wp:posOffset>-104775</wp:posOffset>
            </wp:positionH>
            <wp:positionV relativeFrom="page">
              <wp:posOffset>257175</wp:posOffset>
            </wp:positionV>
            <wp:extent cx="1343025" cy="1217295"/>
            <wp:effectExtent l="0" t="0" r="9525" b="1905"/>
            <wp:wrapTight wrapText="bothSides">
              <wp:wrapPolygon edited="0">
                <wp:start x="0" y="0"/>
                <wp:lineTo x="0" y="21296"/>
                <wp:lineTo x="21447" y="21296"/>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3025" cy="1217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354484D2" wp14:editId="5AAC7F16">
                <wp:simplePos x="0" y="0"/>
                <wp:positionH relativeFrom="margin">
                  <wp:posOffset>1247775</wp:posOffset>
                </wp:positionH>
                <wp:positionV relativeFrom="margin">
                  <wp:posOffset>-19050</wp:posOffset>
                </wp:positionV>
                <wp:extent cx="59055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23925"/>
                        </a:xfrm>
                        <a:prstGeom prst="rect">
                          <a:avLst/>
                        </a:prstGeom>
                        <a:solidFill>
                          <a:srgbClr val="75428A"/>
                        </a:solidFill>
                        <a:ln w="9525">
                          <a:solidFill>
                            <a:srgbClr val="000000"/>
                          </a:solidFill>
                          <a:miter lim="800000"/>
                          <a:headEnd/>
                          <a:tailEnd/>
                        </a:ln>
                      </wps:spPr>
                      <wps:txbx>
                        <w:txbxContent>
                          <w:p w14:paraId="733DB458" w14:textId="2FD68FF9" w:rsidR="00F750B7" w:rsidRPr="00722A34" w:rsidRDefault="002006D9" w:rsidP="00722A34">
                            <w:pPr>
                              <w:spacing w:before="240" w:after="240" w:line="240" w:lineRule="auto"/>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A34">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Pr="00722A34">
                              <w:rPr>
                                <w:rFonts w:ascii="Abadi" w:hAnsi="Abadi" w:cs="Arial"/>
                                <w:b/>
                                <w:bCs/>
                                <w:color w:val="FFFFFF" w:themeColor="background1"/>
                                <w:sz w:val="40"/>
                                <w:szCs w:val="40"/>
                              </w:rPr>
                              <w:t xml:space="preserve"> </w:t>
                            </w:r>
                            <w:r w:rsidR="00722A34" w:rsidRPr="00722A34">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Employability Skills in Supply Chain Management</w:t>
                            </w:r>
                            <w:r w:rsidR="00722A34" w:rsidRPr="00722A34">
                              <w:rPr>
                                <w:rFonts w:ascii="Abadi" w:hAnsi="Abadi" w:cs="Arial"/>
                                <w:b/>
                                <w:bCs/>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98.25pt;margin-top:-1.5pt;width:465pt;height:7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" fillcolor="#75428a">
                <v:textbox>
                  <w:txbxContent>
                    <w:p w14:paraId="733DB458" w14:textId="2FD68FF9" w:rsidR="00F750B7" w:rsidRPr="00722A34" w:rsidRDefault="002006D9" w:rsidP="00722A34">
                      <w:pPr>
                        <w:spacing w:before="240" w:after="240" w:line="240" w:lineRule="auto"/>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A34">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Pr="00722A34">
                        <w:rPr>
                          <w:rFonts w:ascii="Abadi" w:hAnsi="Abadi" w:cs="Arial"/>
                          <w:b/>
                          <w:bCs/>
                          <w:color w:val="FFFFFF" w:themeColor="background1"/>
                          <w:sz w:val="40"/>
                          <w:szCs w:val="40"/>
                        </w:rPr>
                        <w:t xml:space="preserve"> </w:t>
                      </w:r>
                      <w:r w:rsidR="00722A34" w:rsidRPr="00722A34">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Employability Skills in Supply Chain Management</w:t>
                      </w:r>
                      <w:r w:rsidR="00722A34" w:rsidRPr="00722A34">
                        <w:rPr>
                          <w:rFonts w:ascii="Abadi" w:hAnsi="Abadi" w:cs="Arial"/>
                          <w:b/>
                          <w:bCs/>
                          <w:color w:val="FFFFFF" w:themeColor="background1"/>
                          <w:sz w:val="40"/>
                          <w:szCs w:val="40"/>
                        </w:rPr>
                        <w:t xml:space="preserve"> </w:t>
                      </w:r>
                    </w:p>
                  </w:txbxContent>
                </v:textbox>
                <w10:wrap type="square" anchorx="margin" anchory="margin"/>
              </v:shape>
            </w:pict>
          </mc:Fallback>
        </mc:AlternateContent>
      </w:r>
    </w:p>
    <w:p w14:paraId="7FF529BD" w14:textId="5DE03189" w:rsidR="00463530" w:rsidRPr="00722A34" w:rsidRDefault="00463530" w:rsidP="00463530">
      <w:pPr>
        <w:spacing w:after="0"/>
        <w:rPr>
          <w:rFonts w:ascii="Arial" w:hAnsi="Arial" w:cs="Arial"/>
          <w:b/>
          <w:color w:val="7030A0"/>
          <w:sz w:val="24"/>
        </w:rPr>
      </w:pPr>
      <w:bookmarkStart w:id="0" w:name="_Hlk8296580"/>
      <w:r w:rsidRPr="00722A34">
        <w:rPr>
          <w:rFonts w:ascii="Arial" w:hAnsi="Arial" w:cs="Arial"/>
          <w:b/>
          <w:color w:val="7030A0"/>
          <w:sz w:val="24"/>
        </w:rPr>
        <w:t>Course</w:t>
      </w:r>
    </w:p>
    <w:p w14:paraId="7B4F262D" w14:textId="160AE40F" w:rsidR="00463530" w:rsidRDefault="00BF07A7" w:rsidP="00463530">
      <w:pPr>
        <w:spacing w:after="0"/>
        <w:rPr>
          <w:rFonts w:ascii="Calibri" w:hAnsi="Calibri"/>
          <w:sz w:val="20"/>
          <w:szCs w:val="16"/>
        </w:rPr>
      </w:pPr>
      <w:r>
        <w:rPr>
          <w:rFonts w:ascii="Calibri" w:hAnsi="Calibri"/>
          <w:sz w:val="20"/>
          <w:szCs w:val="16"/>
        </w:rPr>
        <w:t>Supply Chain Management I</w:t>
      </w:r>
      <w:r w:rsidR="00A83B72">
        <w:rPr>
          <w:rFonts w:ascii="Calibri" w:hAnsi="Calibri"/>
          <w:sz w:val="20"/>
          <w:szCs w:val="16"/>
        </w:rPr>
        <w:t>I</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722A34" w:rsidRDefault="00BF1E72" w:rsidP="00463530">
      <w:pPr>
        <w:spacing w:after="0"/>
        <w:rPr>
          <w:rFonts w:ascii="Arial" w:hAnsi="Arial" w:cs="Arial"/>
          <w:b/>
          <w:color w:val="7030A0"/>
          <w:sz w:val="24"/>
        </w:rPr>
      </w:pPr>
      <w:r w:rsidRPr="00722A34">
        <w:rPr>
          <w:rFonts w:ascii="Arial" w:hAnsi="Arial" w:cs="Arial"/>
          <w:b/>
          <w:color w:val="7030A0"/>
          <w:sz w:val="24"/>
        </w:rPr>
        <w:t>Objectives</w:t>
      </w:r>
    </w:p>
    <w:p w14:paraId="0638BCB9" w14:textId="77777777" w:rsidR="00722A34" w:rsidRPr="00722A34" w:rsidRDefault="00722A34" w:rsidP="00722A34">
      <w:pPr>
        <w:pStyle w:val="ListParagraph"/>
        <w:numPr>
          <w:ilvl w:val="0"/>
          <w:numId w:val="11"/>
        </w:numPr>
        <w:rPr>
          <w:rFonts w:ascii="Arial" w:hAnsi="Arial" w:cs="Arial"/>
          <w:sz w:val="20"/>
          <w:szCs w:val="20"/>
        </w:rPr>
      </w:pPr>
      <w:r w:rsidRPr="00722A34">
        <w:rPr>
          <w:rFonts w:ascii="Calibri" w:hAnsi="Calibri"/>
          <w:sz w:val="20"/>
          <w:szCs w:val="16"/>
        </w:rPr>
        <w:t>Students will research career information to identify desirable employability skills and character traits needed to work in supply chain management</w:t>
      </w:r>
    </w:p>
    <w:p w14:paraId="0BF93F3C" w14:textId="77777777" w:rsidR="00A83B72" w:rsidRDefault="00A83B72" w:rsidP="00463530">
      <w:pPr>
        <w:spacing w:after="0"/>
        <w:rPr>
          <w:rFonts w:ascii="Arial" w:hAnsi="Arial" w:cs="Arial"/>
          <w:b/>
          <w:color w:val="475A60" w:themeColor="accent2" w:themeShade="80"/>
          <w:sz w:val="24"/>
        </w:rPr>
      </w:pPr>
    </w:p>
    <w:p w14:paraId="6A39B64D" w14:textId="72457F2A" w:rsidR="00463530" w:rsidRPr="00722A34" w:rsidRDefault="005106C5" w:rsidP="00463530">
      <w:pPr>
        <w:spacing w:after="0"/>
        <w:rPr>
          <w:rFonts w:ascii="Arial" w:hAnsi="Arial" w:cs="Arial"/>
          <w:b/>
          <w:color w:val="7030A0"/>
          <w:sz w:val="24"/>
        </w:rPr>
      </w:pPr>
      <w:r w:rsidRPr="00722A34">
        <w:rPr>
          <w:rFonts w:ascii="Arial" w:hAnsi="Arial" w:cs="Arial"/>
          <w:b/>
          <w:color w:val="7030A0"/>
          <w:sz w:val="24"/>
        </w:rPr>
        <w:t>T</w:t>
      </w:r>
      <w:r w:rsidR="00BF1E72" w:rsidRPr="00722A34">
        <w:rPr>
          <w:rFonts w:ascii="Arial" w:hAnsi="Arial" w:cs="Arial"/>
          <w:b/>
          <w:color w:val="7030A0"/>
          <w:sz w:val="24"/>
        </w:rPr>
        <w:t>N State</w:t>
      </w:r>
      <w:r w:rsidR="00E81C98" w:rsidRPr="00722A34">
        <w:rPr>
          <w:rFonts w:ascii="Arial" w:hAnsi="Arial" w:cs="Arial"/>
          <w:b/>
          <w:color w:val="7030A0"/>
          <w:sz w:val="24"/>
        </w:rPr>
        <w:t xml:space="preserve"> CTE</w:t>
      </w:r>
      <w:r w:rsidR="00BF1E72" w:rsidRPr="00722A34">
        <w:rPr>
          <w:rFonts w:ascii="Arial" w:hAnsi="Arial" w:cs="Arial"/>
          <w:b/>
          <w:color w:val="7030A0"/>
          <w:sz w:val="24"/>
        </w:rPr>
        <w:t xml:space="preserve"> Standards</w:t>
      </w:r>
    </w:p>
    <w:p w14:paraId="6CC42F9A" w14:textId="77777777" w:rsidR="00722A34" w:rsidRPr="0073162B" w:rsidRDefault="00722A34" w:rsidP="00722A34">
      <w:pPr>
        <w:spacing w:after="0"/>
        <w:rPr>
          <w:rFonts w:ascii="Calibri" w:hAnsi="Calibri"/>
          <w:b/>
          <w:bCs/>
          <w:sz w:val="20"/>
          <w:szCs w:val="16"/>
        </w:rPr>
      </w:pPr>
      <w:r w:rsidRPr="0073162B">
        <w:rPr>
          <w:rFonts w:ascii="Calibri" w:hAnsi="Calibri"/>
          <w:b/>
          <w:bCs/>
          <w:sz w:val="20"/>
          <w:szCs w:val="16"/>
        </w:rPr>
        <w:t>Communications and Professionalism #5</w:t>
      </w:r>
    </w:p>
    <w:p w14:paraId="3D631B16" w14:textId="77777777" w:rsidR="00722A34" w:rsidRPr="0073162B" w:rsidRDefault="00722A34" w:rsidP="00722A34">
      <w:pPr>
        <w:spacing w:after="0"/>
        <w:rPr>
          <w:rFonts w:ascii="Calibri" w:hAnsi="Calibri"/>
          <w:sz w:val="20"/>
          <w:szCs w:val="16"/>
        </w:rPr>
      </w:pPr>
      <w:r w:rsidRPr="0073162B">
        <w:rPr>
          <w:rFonts w:ascii="Calibri" w:hAnsi="Calibri"/>
          <w:sz w:val="20"/>
          <w:szCs w:val="16"/>
        </w:rPr>
        <w:t>Research job descriptions, career information, and online job boards to identify desirable employability skills and character traits for professionals working in the area of supply chain management. Compile a class list of those skills and attributes. For each item on the class list, define the characteristic, state why it is important for people working in the field, and list at least two ways to build that skill. Possible skills include, but are not limited to: a. collaboration, b. honesty, reliability, d. communication, e. responsibility, f. problem-solving, g. ability to work under pressure, h. flexibility/adaptability, i. workplace etiquette, j. leadership, and k. cross-cultural/diversity and inclusion.</w:t>
      </w:r>
    </w:p>
    <w:p w14:paraId="1AFEFCB5" w14:textId="77777777" w:rsidR="002D1533" w:rsidRDefault="002D1533" w:rsidP="00463530">
      <w:pPr>
        <w:spacing w:after="0"/>
        <w:rPr>
          <w:rFonts w:ascii="Arial" w:hAnsi="Arial" w:cs="Arial"/>
          <w:b/>
          <w:color w:val="643318" w:themeColor="accent3" w:themeShade="80"/>
          <w:sz w:val="24"/>
        </w:rPr>
      </w:pPr>
    </w:p>
    <w:p w14:paraId="5A70434A" w14:textId="50D1C853" w:rsidR="00463530" w:rsidRPr="00722A34" w:rsidRDefault="00E81C98" w:rsidP="00463530">
      <w:pPr>
        <w:spacing w:after="0"/>
        <w:rPr>
          <w:rFonts w:ascii="Arial" w:hAnsi="Arial" w:cs="Arial"/>
          <w:b/>
          <w:color w:val="7030A0"/>
          <w:sz w:val="24"/>
        </w:rPr>
      </w:pPr>
      <w:r w:rsidRPr="00722A34">
        <w:rPr>
          <w:rFonts w:ascii="Arial" w:hAnsi="Arial" w:cs="Arial"/>
          <w:b/>
          <w:color w:val="7030A0"/>
          <w:sz w:val="24"/>
        </w:rPr>
        <w:t>Due Date - _______________________</w:t>
      </w:r>
    </w:p>
    <w:p w14:paraId="6540C5E6" w14:textId="6DA48574" w:rsidR="00463530" w:rsidRDefault="00463530" w:rsidP="00463530">
      <w:pPr>
        <w:spacing w:after="0"/>
        <w:rPr>
          <w:rFonts w:ascii="Calibri" w:hAnsi="Calibri"/>
          <w:sz w:val="20"/>
          <w:szCs w:val="16"/>
        </w:rPr>
      </w:pPr>
    </w:p>
    <w:p w14:paraId="00F4E791" w14:textId="29D3BD39" w:rsidR="00463530" w:rsidRPr="00722A34" w:rsidRDefault="002006D9" w:rsidP="00463530">
      <w:pPr>
        <w:spacing w:after="0"/>
        <w:rPr>
          <w:rFonts w:ascii="Arial" w:hAnsi="Arial" w:cs="Arial"/>
          <w:b/>
          <w:color w:val="7030A0"/>
          <w:sz w:val="24"/>
        </w:rPr>
      </w:pPr>
      <w:r w:rsidRPr="00722A34">
        <w:rPr>
          <w:rFonts w:ascii="Arial" w:hAnsi="Arial" w:cs="Arial"/>
          <w:b/>
          <w:color w:val="7030A0"/>
          <w:sz w:val="24"/>
        </w:rPr>
        <w:t>Grading</w:t>
      </w:r>
    </w:p>
    <w:bookmarkEnd w:id="0"/>
    <w:p w14:paraId="64A53907" w14:textId="42A8CF91" w:rsidR="006D3CFA" w:rsidRPr="0059057A" w:rsidRDefault="002006D9" w:rsidP="006D3CFA">
      <w:pPr>
        <w:spacing w:after="0"/>
        <w:rPr>
          <w:rFonts w:ascii="Calibri" w:hAnsi="Calibri"/>
          <w:sz w:val="20"/>
          <w:szCs w:val="16"/>
        </w:rPr>
      </w:pPr>
      <w:r>
        <w:rPr>
          <w:rFonts w:ascii="Calibri" w:hAnsi="Calibri"/>
          <w:sz w:val="20"/>
          <w:szCs w:val="16"/>
        </w:rPr>
        <w:t xml:space="preserve">Project will </w:t>
      </w:r>
      <w:r w:rsidR="00893528">
        <w:rPr>
          <w:rFonts w:ascii="Calibri" w:hAnsi="Calibri"/>
          <w:sz w:val="20"/>
          <w:szCs w:val="16"/>
        </w:rPr>
        <w:t>be graded using the Project rubric and</w:t>
      </w:r>
      <w:r>
        <w:rPr>
          <w:rFonts w:ascii="Calibri" w:hAnsi="Calibri"/>
          <w:sz w:val="20"/>
          <w:szCs w:val="16"/>
        </w:rPr>
        <w:t xml:space="preserve"> will be worth </w:t>
      </w:r>
      <w:r>
        <w:rPr>
          <w:rFonts w:ascii="Calibri" w:hAnsi="Calibri"/>
          <w:b/>
          <w:bCs/>
          <w:sz w:val="20"/>
          <w:szCs w:val="16"/>
        </w:rPr>
        <w:t>100 points</w:t>
      </w:r>
      <w:r w:rsidR="0059057A" w:rsidRPr="0059057A">
        <w:rPr>
          <w:rFonts w:ascii="Calibri" w:hAnsi="Calibri"/>
          <w:sz w:val="20"/>
          <w:szCs w:val="16"/>
        </w:rPr>
        <w:t>.</w:t>
      </w:r>
    </w:p>
    <w:p w14:paraId="4F3FD86C" w14:textId="3CB9AD65" w:rsidR="002006D9" w:rsidRDefault="00466E9B" w:rsidP="006D3CFA">
      <w:pPr>
        <w:spacing w:after="0"/>
        <w:rPr>
          <w:rFonts w:ascii="Calibri" w:hAnsi="Calibri"/>
          <w:sz w:val="20"/>
          <w:szCs w:val="16"/>
        </w:rPr>
      </w:pPr>
      <w:r>
        <w:rPr>
          <w:rFonts w:ascii="Calibri" w:hAnsi="Calibri"/>
          <w:sz w:val="20"/>
          <w:szCs w:val="16"/>
        </w:rPr>
        <w:t>_____________________________________________________________________</w:t>
      </w:r>
    </w:p>
    <w:p w14:paraId="0AD5136F" w14:textId="20DDB129" w:rsidR="00466E9B" w:rsidRDefault="00466E9B" w:rsidP="006D3CFA">
      <w:pPr>
        <w:spacing w:after="0"/>
        <w:rPr>
          <w:rFonts w:ascii="Calibri" w:hAnsi="Calibri"/>
          <w:sz w:val="20"/>
          <w:szCs w:val="16"/>
        </w:rPr>
      </w:pPr>
    </w:p>
    <w:p w14:paraId="051696C1" w14:textId="2BE29E55" w:rsidR="0007285C" w:rsidRPr="00722A34" w:rsidRDefault="0007285C" w:rsidP="006D3CFA">
      <w:pPr>
        <w:spacing w:after="0"/>
        <w:rPr>
          <w:rFonts w:ascii="Arial" w:hAnsi="Arial" w:cs="Arial"/>
          <w:b/>
          <w:color w:val="7030A0"/>
          <w:sz w:val="24"/>
        </w:rPr>
      </w:pPr>
      <w:r w:rsidRPr="00722A34">
        <w:rPr>
          <w:rFonts w:ascii="Arial" w:hAnsi="Arial" w:cs="Arial"/>
          <w:b/>
          <w:color w:val="7030A0"/>
          <w:sz w:val="24"/>
        </w:rPr>
        <w:t>Project Activities</w:t>
      </w:r>
    </w:p>
    <w:p w14:paraId="5AA2E563" w14:textId="3646F749" w:rsidR="00722A34" w:rsidRDefault="002D1533" w:rsidP="00DD2B3A">
      <w:pPr>
        <w:pStyle w:val="ListParagraph"/>
        <w:numPr>
          <w:ilvl w:val="0"/>
          <w:numId w:val="9"/>
        </w:numPr>
        <w:spacing w:after="0"/>
        <w:rPr>
          <w:rFonts w:ascii="Calibri" w:hAnsi="Calibri"/>
          <w:sz w:val="20"/>
          <w:szCs w:val="16"/>
        </w:rPr>
      </w:pPr>
      <w:r>
        <w:rPr>
          <w:rFonts w:ascii="Calibri" w:hAnsi="Calibri"/>
          <w:sz w:val="20"/>
          <w:szCs w:val="16"/>
        </w:rPr>
        <w:t xml:space="preserve">Research </w:t>
      </w:r>
      <w:r w:rsidR="00722A34">
        <w:rPr>
          <w:rFonts w:ascii="Calibri" w:hAnsi="Calibri"/>
          <w:sz w:val="20"/>
          <w:szCs w:val="16"/>
        </w:rPr>
        <w:t>job descriptions, career information, and online job boards to identify desirable employability skills and character traits for professionals working in supply chain management</w:t>
      </w:r>
    </w:p>
    <w:p w14:paraId="5B8969B5" w14:textId="1C80A1DF" w:rsidR="00722A34" w:rsidRDefault="00722A34" w:rsidP="00DD2B3A">
      <w:pPr>
        <w:pStyle w:val="ListParagraph"/>
        <w:numPr>
          <w:ilvl w:val="0"/>
          <w:numId w:val="9"/>
        </w:numPr>
        <w:spacing w:after="0"/>
        <w:rPr>
          <w:rFonts w:ascii="Calibri" w:hAnsi="Calibri"/>
          <w:sz w:val="20"/>
          <w:szCs w:val="16"/>
        </w:rPr>
      </w:pPr>
      <w:r>
        <w:rPr>
          <w:rFonts w:ascii="Calibri" w:hAnsi="Calibri"/>
          <w:sz w:val="20"/>
          <w:szCs w:val="16"/>
        </w:rPr>
        <w:t>Compile a list of those skills and attributes into a table (MS Word 2016) and include the definition, why it is important, and at least two ways to build that skill.</w:t>
      </w:r>
    </w:p>
    <w:p w14:paraId="0DCEB21F" w14:textId="0EDE38F5" w:rsidR="00722A34" w:rsidRPr="00722A34" w:rsidRDefault="00722A34" w:rsidP="00722A34">
      <w:pPr>
        <w:pStyle w:val="ListParagraph"/>
        <w:numPr>
          <w:ilvl w:val="0"/>
          <w:numId w:val="9"/>
        </w:numPr>
        <w:spacing w:after="0"/>
        <w:rPr>
          <w:rFonts w:ascii="Calibri" w:hAnsi="Calibri"/>
          <w:sz w:val="20"/>
          <w:szCs w:val="16"/>
        </w:rPr>
      </w:pPr>
      <w:r w:rsidRPr="00722A34">
        <w:rPr>
          <w:rFonts w:ascii="Calibri" w:hAnsi="Calibri"/>
          <w:sz w:val="20"/>
          <w:szCs w:val="16"/>
        </w:rPr>
        <w:t xml:space="preserve">List of skills must include, but not be limited to: </w:t>
      </w:r>
      <w:r w:rsidRPr="00722A34">
        <w:rPr>
          <w:rFonts w:ascii="Calibri" w:hAnsi="Calibri"/>
          <w:sz w:val="20"/>
          <w:szCs w:val="16"/>
        </w:rPr>
        <w:t>a. collaboration, b. honesty, reliability, d. communication, e. responsibility, f. problem-solving, g. ability to work under pressure, h. flexibility/adaptability, i. workplace etiquette, j. leadership, and k. cross-cultural/diversity and inclusion.</w:t>
      </w:r>
    </w:p>
    <w:p w14:paraId="7E3BC420" w14:textId="0CE70952" w:rsidR="00722A34" w:rsidRPr="00722A34" w:rsidRDefault="00722A34" w:rsidP="00722A34">
      <w:pPr>
        <w:pStyle w:val="ListParagraph"/>
        <w:numPr>
          <w:ilvl w:val="0"/>
          <w:numId w:val="9"/>
        </w:numPr>
        <w:spacing w:after="0"/>
        <w:rPr>
          <w:rFonts w:ascii="Calibri" w:hAnsi="Calibri"/>
          <w:sz w:val="20"/>
          <w:szCs w:val="16"/>
        </w:rPr>
      </w:pPr>
      <w:r w:rsidRPr="00722A34">
        <w:rPr>
          <w:rFonts w:ascii="Calibri" w:hAnsi="Calibri"/>
          <w:sz w:val="20"/>
          <w:szCs w:val="16"/>
        </w:rPr>
        <w:t xml:space="preserve">Document must be emailed to </w:t>
      </w:r>
      <w:hyperlink r:id="rId8" w:history="1">
        <w:r w:rsidRPr="00722A34">
          <w:rPr>
            <w:rStyle w:val="Hyperlink"/>
            <w:rFonts w:ascii="Calibri" w:hAnsi="Calibri"/>
            <w:sz w:val="20"/>
            <w:szCs w:val="16"/>
          </w:rPr>
          <w:t>kavasschs@gmail.com</w:t>
        </w:r>
      </w:hyperlink>
      <w:r w:rsidRPr="00722A34">
        <w:rPr>
          <w:rFonts w:ascii="Calibri" w:hAnsi="Calibri"/>
          <w:sz w:val="20"/>
          <w:szCs w:val="16"/>
        </w:rPr>
        <w:t xml:space="preserve"> no later than the assigned due date</w:t>
      </w:r>
    </w:p>
    <w:p w14:paraId="7E48A360" w14:textId="77777777" w:rsidR="00DD2B3A" w:rsidRDefault="00DD2B3A" w:rsidP="006D3CFA">
      <w:pPr>
        <w:spacing w:after="0"/>
        <w:rPr>
          <w:rFonts w:ascii="Calibri" w:hAnsi="Calibri"/>
          <w:sz w:val="20"/>
          <w:szCs w:val="16"/>
        </w:rPr>
      </w:pPr>
    </w:p>
    <w:p w14:paraId="3D784E77" w14:textId="77777777" w:rsidR="0007285C" w:rsidRPr="0007285C" w:rsidRDefault="0007285C" w:rsidP="006D3CFA">
      <w:pPr>
        <w:spacing w:after="0"/>
        <w:rPr>
          <w:rFonts w:ascii="Calibri" w:hAnsi="Calibri"/>
          <w:sz w:val="20"/>
          <w:szCs w:val="16"/>
        </w:rPr>
      </w:pPr>
    </w:p>
    <w:sectPr w:rsidR="0007285C" w:rsidRPr="0007285C" w:rsidSect="00D10780">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3A5D2" w14:textId="77777777" w:rsidR="00AE3969" w:rsidRDefault="00AE3969" w:rsidP="00BE6C20">
      <w:pPr>
        <w:spacing w:after="0" w:line="240" w:lineRule="auto"/>
      </w:pPr>
      <w:r>
        <w:separator/>
      </w:r>
    </w:p>
  </w:endnote>
  <w:endnote w:type="continuationSeparator" w:id="0">
    <w:p w14:paraId="107474AD" w14:textId="77777777" w:rsidR="00AE3969" w:rsidRDefault="00AE3969"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2006D9" w14:paraId="176BEF98" w14:textId="77777777" w:rsidTr="002D1533">
      <w:trPr>
        <w:trHeight w:hRule="exact" w:val="115"/>
        <w:jc w:val="center"/>
      </w:trPr>
      <w:tc>
        <w:tcPr>
          <w:tcW w:w="4686" w:type="dxa"/>
          <w:shd w:val="clear" w:color="auto" w:fill="655A45" w:themeFill="accent5" w:themeFillShade="BF"/>
          <w:tcMar>
            <w:top w:w="0" w:type="dxa"/>
            <w:bottom w:w="0" w:type="dxa"/>
          </w:tcMar>
        </w:tcPr>
        <w:p w14:paraId="05B7FFBB" w14:textId="77777777" w:rsidR="002006D9" w:rsidRDefault="002006D9">
          <w:pPr>
            <w:pStyle w:val="Header"/>
            <w:tabs>
              <w:tab w:val="clear" w:pos="4680"/>
              <w:tab w:val="clear" w:pos="9360"/>
            </w:tabs>
            <w:rPr>
              <w:caps/>
              <w:sz w:val="18"/>
            </w:rPr>
          </w:pPr>
        </w:p>
      </w:tc>
      <w:tc>
        <w:tcPr>
          <w:tcW w:w="4674" w:type="dxa"/>
          <w:shd w:val="clear" w:color="auto" w:fill="655A45" w:themeFill="accent5" w:themeFillShade="BF"/>
          <w:tcMar>
            <w:top w:w="0" w:type="dxa"/>
            <w:bottom w:w="0" w:type="dxa"/>
          </w:tcMar>
        </w:tcPr>
        <w:p w14:paraId="7EDA4A93" w14:textId="77777777" w:rsidR="002006D9" w:rsidRDefault="002006D9">
          <w:pPr>
            <w:pStyle w:val="Header"/>
            <w:tabs>
              <w:tab w:val="clear" w:pos="4680"/>
              <w:tab w:val="clear" w:pos="9360"/>
            </w:tabs>
            <w:jc w:val="right"/>
            <w:rPr>
              <w:caps/>
              <w:sz w:val="18"/>
            </w:rPr>
          </w:pPr>
        </w:p>
      </w:tc>
    </w:tr>
    <w:tr w:rsidR="002006D9" w14:paraId="64E66C01" w14:textId="77777777">
      <w:trPr>
        <w:jc w:val="center"/>
      </w:trPr>
      <w:sdt>
        <w:sdtPr>
          <w:rPr>
            <w:caps/>
            <w:color w:val="808080" w:themeColor="background1" w:themeShade="80"/>
            <w:sz w:val="18"/>
            <w:szCs w:val="18"/>
          </w:rPr>
          <w:alias w:val="Author"/>
          <w:tag w:val=""/>
          <w:id w:val="1534151868"/>
          <w:placeholder>
            <w:docPart w:val="3EA9319CE81A4B04833E886EF454F7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2D34AB3" w14:textId="1A5DD5DF" w:rsidR="002006D9" w:rsidRDefault="002D153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Communications and professionalism unit</w:t>
              </w:r>
            </w:p>
          </w:tc>
        </w:sdtContent>
      </w:sdt>
      <w:tc>
        <w:tcPr>
          <w:tcW w:w="4674" w:type="dxa"/>
          <w:shd w:val="clear" w:color="auto" w:fill="auto"/>
          <w:vAlign w:val="center"/>
        </w:tcPr>
        <w:p w14:paraId="1EE57C83" w14:textId="3936B1E1" w:rsidR="002006D9" w:rsidRDefault="0007285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2006D9">
            <w:rPr>
              <w:caps/>
              <w:color w:val="808080" w:themeColor="background1" w:themeShade="80"/>
              <w:sz w:val="18"/>
              <w:szCs w:val="18"/>
            </w:rPr>
            <w:fldChar w:fldCharType="begin"/>
          </w:r>
          <w:r w:rsidR="002006D9">
            <w:rPr>
              <w:caps/>
              <w:color w:val="808080" w:themeColor="background1" w:themeShade="80"/>
              <w:sz w:val="18"/>
              <w:szCs w:val="18"/>
            </w:rPr>
            <w:instrText xml:space="preserve"> PAGE   \* MERGEFORMAT </w:instrText>
          </w:r>
          <w:r w:rsidR="002006D9">
            <w:rPr>
              <w:caps/>
              <w:color w:val="808080" w:themeColor="background1" w:themeShade="80"/>
              <w:sz w:val="18"/>
              <w:szCs w:val="18"/>
            </w:rPr>
            <w:fldChar w:fldCharType="separate"/>
          </w:r>
          <w:r w:rsidR="002006D9">
            <w:rPr>
              <w:caps/>
              <w:noProof/>
              <w:color w:val="808080" w:themeColor="background1" w:themeShade="80"/>
              <w:sz w:val="18"/>
              <w:szCs w:val="18"/>
            </w:rPr>
            <w:t>2</w:t>
          </w:r>
          <w:r w:rsidR="002006D9">
            <w:rPr>
              <w:caps/>
              <w:noProof/>
              <w:color w:val="808080" w:themeColor="background1" w:themeShade="80"/>
              <w:sz w:val="18"/>
              <w:szCs w:val="18"/>
            </w:rPr>
            <w:fldChar w:fldCharType="end"/>
          </w:r>
        </w:p>
      </w:tc>
    </w:tr>
  </w:tbl>
  <w:p w14:paraId="16DDC5EC" w14:textId="02E0D0D4"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13229" w14:textId="77777777" w:rsidR="00AE3969" w:rsidRDefault="00AE3969" w:rsidP="00BE6C20">
      <w:pPr>
        <w:spacing w:after="0" w:line="240" w:lineRule="auto"/>
      </w:pPr>
      <w:r>
        <w:separator/>
      </w:r>
    </w:p>
  </w:footnote>
  <w:footnote w:type="continuationSeparator" w:id="0">
    <w:p w14:paraId="1478A408" w14:textId="77777777" w:rsidR="00AE3969" w:rsidRDefault="00AE3969"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 w15:restartNumberingAfterBreak="0">
    <w:nsid w:val="11FB0535"/>
    <w:multiLevelType w:val="hybridMultilevel"/>
    <w:tmpl w:val="F7C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B1174"/>
    <w:multiLevelType w:val="hybridMultilevel"/>
    <w:tmpl w:val="A790EF34"/>
    <w:lvl w:ilvl="0" w:tplc="4CE43E4E">
      <w:start w:val="1"/>
      <w:numFmt w:val="bullet"/>
      <w:lvlText w:val="•"/>
      <w:lvlJc w:val="left"/>
      <w:pPr>
        <w:tabs>
          <w:tab w:val="num" w:pos="720"/>
        </w:tabs>
        <w:ind w:left="720" w:hanging="360"/>
      </w:pPr>
      <w:rPr>
        <w:rFonts w:ascii="Times New Roman" w:hAnsi="Times New Roman" w:hint="default"/>
      </w:rPr>
    </w:lvl>
    <w:lvl w:ilvl="1" w:tplc="920C3D66" w:tentative="1">
      <w:start w:val="1"/>
      <w:numFmt w:val="bullet"/>
      <w:lvlText w:val="•"/>
      <w:lvlJc w:val="left"/>
      <w:pPr>
        <w:tabs>
          <w:tab w:val="num" w:pos="1440"/>
        </w:tabs>
        <w:ind w:left="1440" w:hanging="360"/>
      </w:pPr>
      <w:rPr>
        <w:rFonts w:ascii="Times New Roman" w:hAnsi="Times New Roman" w:hint="default"/>
      </w:rPr>
    </w:lvl>
    <w:lvl w:ilvl="2" w:tplc="03DEC4C4" w:tentative="1">
      <w:start w:val="1"/>
      <w:numFmt w:val="bullet"/>
      <w:lvlText w:val="•"/>
      <w:lvlJc w:val="left"/>
      <w:pPr>
        <w:tabs>
          <w:tab w:val="num" w:pos="2160"/>
        </w:tabs>
        <w:ind w:left="2160" w:hanging="360"/>
      </w:pPr>
      <w:rPr>
        <w:rFonts w:ascii="Times New Roman" w:hAnsi="Times New Roman" w:hint="default"/>
      </w:rPr>
    </w:lvl>
    <w:lvl w:ilvl="3" w:tplc="3342EC40" w:tentative="1">
      <w:start w:val="1"/>
      <w:numFmt w:val="bullet"/>
      <w:lvlText w:val="•"/>
      <w:lvlJc w:val="left"/>
      <w:pPr>
        <w:tabs>
          <w:tab w:val="num" w:pos="2880"/>
        </w:tabs>
        <w:ind w:left="2880" w:hanging="360"/>
      </w:pPr>
      <w:rPr>
        <w:rFonts w:ascii="Times New Roman" w:hAnsi="Times New Roman" w:hint="default"/>
      </w:rPr>
    </w:lvl>
    <w:lvl w:ilvl="4" w:tplc="E4807E72" w:tentative="1">
      <w:start w:val="1"/>
      <w:numFmt w:val="bullet"/>
      <w:lvlText w:val="•"/>
      <w:lvlJc w:val="left"/>
      <w:pPr>
        <w:tabs>
          <w:tab w:val="num" w:pos="3600"/>
        </w:tabs>
        <w:ind w:left="3600" w:hanging="360"/>
      </w:pPr>
      <w:rPr>
        <w:rFonts w:ascii="Times New Roman" w:hAnsi="Times New Roman" w:hint="default"/>
      </w:rPr>
    </w:lvl>
    <w:lvl w:ilvl="5" w:tplc="53126ECA" w:tentative="1">
      <w:start w:val="1"/>
      <w:numFmt w:val="bullet"/>
      <w:lvlText w:val="•"/>
      <w:lvlJc w:val="left"/>
      <w:pPr>
        <w:tabs>
          <w:tab w:val="num" w:pos="4320"/>
        </w:tabs>
        <w:ind w:left="4320" w:hanging="360"/>
      </w:pPr>
      <w:rPr>
        <w:rFonts w:ascii="Times New Roman" w:hAnsi="Times New Roman" w:hint="default"/>
      </w:rPr>
    </w:lvl>
    <w:lvl w:ilvl="6" w:tplc="A30464A8" w:tentative="1">
      <w:start w:val="1"/>
      <w:numFmt w:val="bullet"/>
      <w:lvlText w:val="•"/>
      <w:lvlJc w:val="left"/>
      <w:pPr>
        <w:tabs>
          <w:tab w:val="num" w:pos="5040"/>
        </w:tabs>
        <w:ind w:left="5040" w:hanging="360"/>
      </w:pPr>
      <w:rPr>
        <w:rFonts w:ascii="Times New Roman" w:hAnsi="Times New Roman" w:hint="default"/>
      </w:rPr>
    </w:lvl>
    <w:lvl w:ilvl="7" w:tplc="D88C2570" w:tentative="1">
      <w:start w:val="1"/>
      <w:numFmt w:val="bullet"/>
      <w:lvlText w:val="•"/>
      <w:lvlJc w:val="left"/>
      <w:pPr>
        <w:tabs>
          <w:tab w:val="num" w:pos="5760"/>
        </w:tabs>
        <w:ind w:left="5760" w:hanging="360"/>
      </w:pPr>
      <w:rPr>
        <w:rFonts w:ascii="Times New Roman" w:hAnsi="Times New Roman" w:hint="default"/>
      </w:rPr>
    </w:lvl>
    <w:lvl w:ilvl="8" w:tplc="817CF9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B92BC0"/>
    <w:multiLevelType w:val="hybridMultilevel"/>
    <w:tmpl w:val="4CFA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421095"/>
    <w:multiLevelType w:val="hybridMultilevel"/>
    <w:tmpl w:val="187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737C9"/>
    <w:multiLevelType w:val="hybridMultilevel"/>
    <w:tmpl w:val="2CBA2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F237E8"/>
    <w:multiLevelType w:val="hybridMultilevel"/>
    <w:tmpl w:val="F3A81C80"/>
    <w:lvl w:ilvl="0" w:tplc="DA9C56E8">
      <w:start w:val="1"/>
      <w:numFmt w:val="bullet"/>
      <w:lvlText w:val="•"/>
      <w:lvlJc w:val="left"/>
      <w:pPr>
        <w:tabs>
          <w:tab w:val="num" w:pos="720"/>
        </w:tabs>
        <w:ind w:left="720" w:hanging="360"/>
      </w:pPr>
      <w:rPr>
        <w:rFonts w:ascii="Times New Roman" w:hAnsi="Times New Roman" w:hint="default"/>
      </w:rPr>
    </w:lvl>
    <w:lvl w:ilvl="1" w:tplc="9D0433F0" w:tentative="1">
      <w:start w:val="1"/>
      <w:numFmt w:val="bullet"/>
      <w:lvlText w:val="•"/>
      <w:lvlJc w:val="left"/>
      <w:pPr>
        <w:tabs>
          <w:tab w:val="num" w:pos="1440"/>
        </w:tabs>
        <w:ind w:left="1440" w:hanging="360"/>
      </w:pPr>
      <w:rPr>
        <w:rFonts w:ascii="Times New Roman" w:hAnsi="Times New Roman" w:hint="default"/>
      </w:rPr>
    </w:lvl>
    <w:lvl w:ilvl="2" w:tplc="01E2997C" w:tentative="1">
      <w:start w:val="1"/>
      <w:numFmt w:val="bullet"/>
      <w:lvlText w:val="•"/>
      <w:lvlJc w:val="left"/>
      <w:pPr>
        <w:tabs>
          <w:tab w:val="num" w:pos="2160"/>
        </w:tabs>
        <w:ind w:left="2160" w:hanging="360"/>
      </w:pPr>
      <w:rPr>
        <w:rFonts w:ascii="Times New Roman" w:hAnsi="Times New Roman" w:hint="default"/>
      </w:rPr>
    </w:lvl>
    <w:lvl w:ilvl="3" w:tplc="A2FAE702" w:tentative="1">
      <w:start w:val="1"/>
      <w:numFmt w:val="bullet"/>
      <w:lvlText w:val="•"/>
      <w:lvlJc w:val="left"/>
      <w:pPr>
        <w:tabs>
          <w:tab w:val="num" w:pos="2880"/>
        </w:tabs>
        <w:ind w:left="2880" w:hanging="360"/>
      </w:pPr>
      <w:rPr>
        <w:rFonts w:ascii="Times New Roman" w:hAnsi="Times New Roman" w:hint="default"/>
      </w:rPr>
    </w:lvl>
    <w:lvl w:ilvl="4" w:tplc="FA60D90A" w:tentative="1">
      <w:start w:val="1"/>
      <w:numFmt w:val="bullet"/>
      <w:lvlText w:val="•"/>
      <w:lvlJc w:val="left"/>
      <w:pPr>
        <w:tabs>
          <w:tab w:val="num" w:pos="3600"/>
        </w:tabs>
        <w:ind w:left="3600" w:hanging="360"/>
      </w:pPr>
      <w:rPr>
        <w:rFonts w:ascii="Times New Roman" w:hAnsi="Times New Roman" w:hint="default"/>
      </w:rPr>
    </w:lvl>
    <w:lvl w:ilvl="5" w:tplc="DFA2E9E8" w:tentative="1">
      <w:start w:val="1"/>
      <w:numFmt w:val="bullet"/>
      <w:lvlText w:val="•"/>
      <w:lvlJc w:val="left"/>
      <w:pPr>
        <w:tabs>
          <w:tab w:val="num" w:pos="4320"/>
        </w:tabs>
        <w:ind w:left="4320" w:hanging="360"/>
      </w:pPr>
      <w:rPr>
        <w:rFonts w:ascii="Times New Roman" w:hAnsi="Times New Roman" w:hint="default"/>
      </w:rPr>
    </w:lvl>
    <w:lvl w:ilvl="6" w:tplc="2C6CAD6C" w:tentative="1">
      <w:start w:val="1"/>
      <w:numFmt w:val="bullet"/>
      <w:lvlText w:val="•"/>
      <w:lvlJc w:val="left"/>
      <w:pPr>
        <w:tabs>
          <w:tab w:val="num" w:pos="5040"/>
        </w:tabs>
        <w:ind w:left="5040" w:hanging="360"/>
      </w:pPr>
      <w:rPr>
        <w:rFonts w:ascii="Times New Roman" w:hAnsi="Times New Roman" w:hint="default"/>
      </w:rPr>
    </w:lvl>
    <w:lvl w:ilvl="7" w:tplc="B2061638" w:tentative="1">
      <w:start w:val="1"/>
      <w:numFmt w:val="bullet"/>
      <w:lvlText w:val="•"/>
      <w:lvlJc w:val="left"/>
      <w:pPr>
        <w:tabs>
          <w:tab w:val="num" w:pos="5760"/>
        </w:tabs>
        <w:ind w:left="5760" w:hanging="360"/>
      </w:pPr>
      <w:rPr>
        <w:rFonts w:ascii="Times New Roman" w:hAnsi="Times New Roman" w:hint="default"/>
      </w:rPr>
    </w:lvl>
    <w:lvl w:ilvl="8" w:tplc="B734B8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0FE3FD4"/>
    <w:multiLevelType w:val="hybridMultilevel"/>
    <w:tmpl w:val="F08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27F5"/>
    <w:multiLevelType w:val="hybridMultilevel"/>
    <w:tmpl w:val="12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F3052"/>
    <w:multiLevelType w:val="hybridMultilevel"/>
    <w:tmpl w:val="EFF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1"/>
  </w:num>
  <w:num w:numId="7">
    <w:abstractNumId w:val="8"/>
  </w:num>
  <w:num w:numId="8">
    <w:abstractNumId w:val="4"/>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4819"/>
    <w:rsid w:val="0000575F"/>
    <w:rsid w:val="0007285C"/>
    <w:rsid w:val="00085A1D"/>
    <w:rsid w:val="0009394D"/>
    <w:rsid w:val="000B342C"/>
    <w:rsid w:val="000F6E00"/>
    <w:rsid w:val="00145D7E"/>
    <w:rsid w:val="00164CAC"/>
    <w:rsid w:val="001707C1"/>
    <w:rsid w:val="00185856"/>
    <w:rsid w:val="001A3A4B"/>
    <w:rsid w:val="001C53F8"/>
    <w:rsid w:val="001D0AAC"/>
    <w:rsid w:val="001D17F0"/>
    <w:rsid w:val="001D2F87"/>
    <w:rsid w:val="001E104B"/>
    <w:rsid w:val="001E224E"/>
    <w:rsid w:val="001E37C5"/>
    <w:rsid w:val="002006D9"/>
    <w:rsid w:val="00202608"/>
    <w:rsid w:val="002225D1"/>
    <w:rsid w:val="0026533B"/>
    <w:rsid w:val="002A3056"/>
    <w:rsid w:val="002A627D"/>
    <w:rsid w:val="002D1533"/>
    <w:rsid w:val="002E7E03"/>
    <w:rsid w:val="002F038C"/>
    <w:rsid w:val="002F0780"/>
    <w:rsid w:val="00311590"/>
    <w:rsid w:val="00384D95"/>
    <w:rsid w:val="003A0536"/>
    <w:rsid w:val="003A3680"/>
    <w:rsid w:val="003A6F63"/>
    <w:rsid w:val="003E0225"/>
    <w:rsid w:val="003E7E9F"/>
    <w:rsid w:val="0041231C"/>
    <w:rsid w:val="0041307F"/>
    <w:rsid w:val="00463530"/>
    <w:rsid w:val="00466E9B"/>
    <w:rsid w:val="004B58B7"/>
    <w:rsid w:val="004F78D1"/>
    <w:rsid w:val="005106C5"/>
    <w:rsid w:val="0055706B"/>
    <w:rsid w:val="00565C55"/>
    <w:rsid w:val="00567034"/>
    <w:rsid w:val="0059057A"/>
    <w:rsid w:val="005E6C89"/>
    <w:rsid w:val="00602353"/>
    <w:rsid w:val="00656F08"/>
    <w:rsid w:val="00662547"/>
    <w:rsid w:val="006969E1"/>
    <w:rsid w:val="006A16AF"/>
    <w:rsid w:val="006D3CFA"/>
    <w:rsid w:val="007205F0"/>
    <w:rsid w:val="00722A34"/>
    <w:rsid w:val="007412B6"/>
    <w:rsid w:val="0076612D"/>
    <w:rsid w:val="00767617"/>
    <w:rsid w:val="007B24B5"/>
    <w:rsid w:val="007F681F"/>
    <w:rsid w:val="00816C2F"/>
    <w:rsid w:val="0082081A"/>
    <w:rsid w:val="008443A9"/>
    <w:rsid w:val="00883B5E"/>
    <w:rsid w:val="00887666"/>
    <w:rsid w:val="00893528"/>
    <w:rsid w:val="008D2CD5"/>
    <w:rsid w:val="008F54D5"/>
    <w:rsid w:val="00924E44"/>
    <w:rsid w:val="00941459"/>
    <w:rsid w:val="00975DAA"/>
    <w:rsid w:val="009850FD"/>
    <w:rsid w:val="00986232"/>
    <w:rsid w:val="009A5322"/>
    <w:rsid w:val="009B435E"/>
    <w:rsid w:val="00A27DCC"/>
    <w:rsid w:val="00A3061E"/>
    <w:rsid w:val="00A36A5B"/>
    <w:rsid w:val="00A407A3"/>
    <w:rsid w:val="00A472E9"/>
    <w:rsid w:val="00A83B72"/>
    <w:rsid w:val="00AC5183"/>
    <w:rsid w:val="00AE3969"/>
    <w:rsid w:val="00B6062A"/>
    <w:rsid w:val="00B76CC5"/>
    <w:rsid w:val="00BB230B"/>
    <w:rsid w:val="00BE6C20"/>
    <w:rsid w:val="00BF07A7"/>
    <w:rsid w:val="00BF0EDE"/>
    <w:rsid w:val="00BF1E72"/>
    <w:rsid w:val="00C21C1B"/>
    <w:rsid w:val="00C247E4"/>
    <w:rsid w:val="00C73595"/>
    <w:rsid w:val="00C9236D"/>
    <w:rsid w:val="00CE723F"/>
    <w:rsid w:val="00CE7EBE"/>
    <w:rsid w:val="00D10780"/>
    <w:rsid w:val="00D11966"/>
    <w:rsid w:val="00D47BD8"/>
    <w:rsid w:val="00D60F6A"/>
    <w:rsid w:val="00DD2B3A"/>
    <w:rsid w:val="00DF2CE0"/>
    <w:rsid w:val="00DF5D92"/>
    <w:rsid w:val="00E0431D"/>
    <w:rsid w:val="00E169E6"/>
    <w:rsid w:val="00E1755F"/>
    <w:rsid w:val="00E17642"/>
    <w:rsid w:val="00E32B6D"/>
    <w:rsid w:val="00E3521B"/>
    <w:rsid w:val="00E47798"/>
    <w:rsid w:val="00E81C98"/>
    <w:rsid w:val="00EA4312"/>
    <w:rsid w:val="00EF41E8"/>
    <w:rsid w:val="00F46590"/>
    <w:rsid w:val="00F750B7"/>
    <w:rsid w:val="00FA05F7"/>
    <w:rsid w:val="00FB1514"/>
    <w:rsid w:val="00FB5E95"/>
    <w:rsid w:val="00FE0BF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5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3A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1533"/>
    <w:rPr>
      <w:color w:val="738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4997">
      <w:bodyDiv w:val="1"/>
      <w:marLeft w:val="0"/>
      <w:marRight w:val="0"/>
      <w:marTop w:val="0"/>
      <w:marBottom w:val="0"/>
      <w:divBdr>
        <w:top w:val="none" w:sz="0" w:space="0" w:color="auto"/>
        <w:left w:val="none" w:sz="0" w:space="0" w:color="auto"/>
        <w:bottom w:val="none" w:sz="0" w:space="0" w:color="auto"/>
        <w:right w:val="none" w:sz="0" w:space="0" w:color="auto"/>
      </w:divBdr>
    </w:div>
    <w:div w:id="517279094">
      <w:bodyDiv w:val="1"/>
      <w:marLeft w:val="0"/>
      <w:marRight w:val="0"/>
      <w:marTop w:val="0"/>
      <w:marBottom w:val="0"/>
      <w:divBdr>
        <w:top w:val="none" w:sz="0" w:space="0" w:color="auto"/>
        <w:left w:val="none" w:sz="0" w:space="0" w:color="auto"/>
        <w:bottom w:val="none" w:sz="0" w:space="0" w:color="auto"/>
        <w:right w:val="none" w:sz="0" w:space="0" w:color="auto"/>
      </w:divBdr>
      <w:divsChild>
        <w:div w:id="328336425">
          <w:marLeft w:val="547"/>
          <w:marRight w:val="0"/>
          <w:marTop w:val="86"/>
          <w:marBottom w:val="0"/>
          <w:divBdr>
            <w:top w:val="none" w:sz="0" w:space="0" w:color="auto"/>
            <w:left w:val="none" w:sz="0" w:space="0" w:color="auto"/>
            <w:bottom w:val="none" w:sz="0" w:space="0" w:color="auto"/>
            <w:right w:val="none" w:sz="0" w:space="0" w:color="auto"/>
          </w:divBdr>
        </w:div>
        <w:div w:id="1048190883">
          <w:marLeft w:val="547"/>
          <w:marRight w:val="0"/>
          <w:marTop w:val="86"/>
          <w:marBottom w:val="0"/>
          <w:divBdr>
            <w:top w:val="none" w:sz="0" w:space="0" w:color="auto"/>
            <w:left w:val="none" w:sz="0" w:space="0" w:color="auto"/>
            <w:bottom w:val="none" w:sz="0" w:space="0" w:color="auto"/>
            <w:right w:val="none" w:sz="0" w:space="0" w:color="auto"/>
          </w:divBdr>
        </w:div>
        <w:div w:id="1299603573">
          <w:marLeft w:val="547"/>
          <w:marRight w:val="0"/>
          <w:marTop w:val="86"/>
          <w:marBottom w:val="0"/>
          <w:divBdr>
            <w:top w:val="none" w:sz="0" w:space="0" w:color="auto"/>
            <w:left w:val="none" w:sz="0" w:space="0" w:color="auto"/>
            <w:bottom w:val="none" w:sz="0" w:space="0" w:color="auto"/>
            <w:right w:val="none" w:sz="0" w:space="0" w:color="auto"/>
          </w:divBdr>
        </w:div>
        <w:div w:id="740714713">
          <w:marLeft w:val="547"/>
          <w:marRight w:val="0"/>
          <w:marTop w:val="86"/>
          <w:marBottom w:val="0"/>
          <w:divBdr>
            <w:top w:val="none" w:sz="0" w:space="0" w:color="auto"/>
            <w:left w:val="none" w:sz="0" w:space="0" w:color="auto"/>
            <w:bottom w:val="none" w:sz="0" w:space="0" w:color="auto"/>
            <w:right w:val="none" w:sz="0" w:space="0" w:color="auto"/>
          </w:divBdr>
        </w:div>
        <w:div w:id="2144694567">
          <w:marLeft w:val="547"/>
          <w:marRight w:val="0"/>
          <w:marTop w:val="86"/>
          <w:marBottom w:val="0"/>
          <w:divBdr>
            <w:top w:val="none" w:sz="0" w:space="0" w:color="auto"/>
            <w:left w:val="none" w:sz="0" w:space="0" w:color="auto"/>
            <w:bottom w:val="none" w:sz="0" w:space="0" w:color="auto"/>
            <w:right w:val="none" w:sz="0" w:space="0" w:color="auto"/>
          </w:divBdr>
        </w:div>
      </w:divsChild>
    </w:div>
    <w:div w:id="789862176">
      <w:bodyDiv w:val="1"/>
      <w:marLeft w:val="0"/>
      <w:marRight w:val="0"/>
      <w:marTop w:val="0"/>
      <w:marBottom w:val="0"/>
      <w:divBdr>
        <w:top w:val="none" w:sz="0" w:space="0" w:color="auto"/>
        <w:left w:val="none" w:sz="0" w:space="0" w:color="auto"/>
        <w:bottom w:val="none" w:sz="0" w:space="0" w:color="auto"/>
        <w:right w:val="none" w:sz="0" w:space="0" w:color="auto"/>
      </w:divBdr>
      <w:divsChild>
        <w:div w:id="1614555178">
          <w:marLeft w:val="547"/>
          <w:marRight w:val="0"/>
          <w:marTop w:val="115"/>
          <w:marBottom w:val="0"/>
          <w:divBdr>
            <w:top w:val="none" w:sz="0" w:space="0" w:color="auto"/>
            <w:left w:val="none" w:sz="0" w:space="0" w:color="auto"/>
            <w:bottom w:val="none" w:sz="0" w:space="0" w:color="auto"/>
            <w:right w:val="none" w:sz="0" w:space="0" w:color="auto"/>
          </w:divBdr>
        </w:div>
        <w:div w:id="1251310951">
          <w:marLeft w:val="547"/>
          <w:marRight w:val="0"/>
          <w:marTop w:val="115"/>
          <w:marBottom w:val="0"/>
          <w:divBdr>
            <w:top w:val="none" w:sz="0" w:space="0" w:color="auto"/>
            <w:left w:val="none" w:sz="0" w:space="0" w:color="auto"/>
            <w:bottom w:val="none" w:sz="0" w:space="0" w:color="auto"/>
            <w:right w:val="none" w:sz="0" w:space="0" w:color="auto"/>
          </w:divBdr>
        </w:div>
        <w:div w:id="678822555">
          <w:marLeft w:val="547"/>
          <w:marRight w:val="0"/>
          <w:marTop w:val="115"/>
          <w:marBottom w:val="0"/>
          <w:divBdr>
            <w:top w:val="none" w:sz="0" w:space="0" w:color="auto"/>
            <w:left w:val="none" w:sz="0" w:space="0" w:color="auto"/>
            <w:bottom w:val="none" w:sz="0" w:space="0" w:color="auto"/>
            <w:right w:val="none" w:sz="0" w:space="0" w:color="auto"/>
          </w:divBdr>
        </w:div>
        <w:div w:id="1201163160">
          <w:marLeft w:val="547"/>
          <w:marRight w:val="0"/>
          <w:marTop w:val="115"/>
          <w:marBottom w:val="0"/>
          <w:divBdr>
            <w:top w:val="none" w:sz="0" w:space="0" w:color="auto"/>
            <w:left w:val="none" w:sz="0" w:space="0" w:color="auto"/>
            <w:bottom w:val="none" w:sz="0" w:space="0" w:color="auto"/>
            <w:right w:val="none" w:sz="0" w:space="0" w:color="auto"/>
          </w:divBdr>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2013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A9319CE81A4B04833E886EF454F791"/>
        <w:category>
          <w:name w:val="General"/>
          <w:gallery w:val="placeholder"/>
        </w:category>
        <w:types>
          <w:type w:val="bbPlcHdr"/>
        </w:types>
        <w:behaviors>
          <w:behavior w:val="content"/>
        </w:behaviors>
        <w:guid w:val="{C7573E09-8C2F-4DB5-9412-BA4E13A1A021}"/>
      </w:docPartPr>
      <w:docPartBody>
        <w:p w:rsidR="009A7984" w:rsidRDefault="002C2C68" w:rsidP="002C2C68">
          <w:pPr>
            <w:pStyle w:val="3EA9319CE81A4B04833E886EF454F7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8"/>
    <w:rsid w:val="002C2C68"/>
    <w:rsid w:val="004329E9"/>
    <w:rsid w:val="00464E12"/>
    <w:rsid w:val="0051117C"/>
    <w:rsid w:val="00880290"/>
    <w:rsid w:val="009A7984"/>
    <w:rsid w:val="00A71E96"/>
    <w:rsid w:val="00B329D0"/>
    <w:rsid w:val="00CF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68"/>
    <w:rPr>
      <w:color w:val="808080"/>
    </w:rPr>
  </w:style>
  <w:style w:type="paragraph" w:customStyle="1" w:styleId="3EA9319CE81A4B04833E886EF454F791">
    <w:name w:val="3EA9319CE81A4B04833E886EF454F791"/>
    <w:rsid w:val="002C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Communications and professionalism unit</dc:creator>
  <cp:keywords/>
  <dc:description/>
  <cp:lastModifiedBy>ARIANE B KAVASS</cp:lastModifiedBy>
  <cp:revision>4</cp:revision>
  <cp:lastPrinted>2019-12-01T13:13:00Z</cp:lastPrinted>
  <dcterms:created xsi:type="dcterms:W3CDTF">2020-07-20T11:00:00Z</dcterms:created>
  <dcterms:modified xsi:type="dcterms:W3CDTF">2020-07-20T12:00:00Z</dcterms:modified>
</cp:coreProperties>
</file>